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FE0" w:rsidRDefault="00B0229E" w:rsidP="006029AF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To:   </w:t>
      </w:r>
      <w:r w:rsidR="00CD473A">
        <w:rPr>
          <w:rFonts w:ascii="Arial" w:hAnsi="Arial" w:cs="Arial"/>
        </w:rPr>
        <w:tab/>
      </w:r>
      <w:r w:rsidR="008C71C0">
        <w:rPr>
          <w:rFonts w:ascii="Arial" w:hAnsi="Arial" w:cs="Arial"/>
        </w:rPr>
        <w:t>Children’s Representation Program Attorneys</w:t>
      </w:r>
      <w:r w:rsidR="008C71C0">
        <w:rPr>
          <w:rFonts w:ascii="Arial" w:hAnsi="Arial" w:cs="Arial"/>
        </w:rPr>
        <w:tab/>
      </w:r>
    </w:p>
    <w:p w:rsidR="00721FE0" w:rsidRDefault="00721FE0" w:rsidP="006029AF">
      <w:pPr>
        <w:rPr>
          <w:rFonts w:ascii="Arial" w:hAnsi="Arial" w:cs="Arial"/>
        </w:rPr>
      </w:pPr>
    </w:p>
    <w:p w:rsidR="006029AF" w:rsidRDefault="00721FE0" w:rsidP="006029AF">
      <w:pPr>
        <w:rPr>
          <w:rFonts w:ascii="Arial" w:hAnsi="Arial" w:cs="Arial"/>
        </w:rPr>
      </w:pPr>
      <w:r>
        <w:rPr>
          <w:rFonts w:ascii="Arial" w:hAnsi="Arial" w:cs="Arial"/>
        </w:rPr>
        <w:t>From:</w:t>
      </w:r>
      <w:r>
        <w:rPr>
          <w:rFonts w:ascii="Arial" w:hAnsi="Arial" w:cs="Arial"/>
        </w:rPr>
        <w:tab/>
      </w:r>
      <w:r w:rsidR="008C71C0">
        <w:rPr>
          <w:rFonts w:ascii="Arial" w:hAnsi="Arial" w:cs="Arial"/>
        </w:rPr>
        <w:t>Jill Malat</w:t>
      </w:r>
    </w:p>
    <w:p w:rsidR="006029AF" w:rsidRDefault="006029AF" w:rsidP="006029AF">
      <w:pPr>
        <w:rPr>
          <w:rFonts w:ascii="Arial" w:hAnsi="Arial" w:cs="Arial"/>
        </w:rPr>
      </w:pPr>
    </w:p>
    <w:p w:rsidR="006029AF" w:rsidRDefault="006029AF" w:rsidP="006029AF">
      <w:pPr>
        <w:rPr>
          <w:rFonts w:ascii="Arial" w:hAnsi="Arial" w:cs="Arial"/>
        </w:rPr>
      </w:pPr>
      <w:r>
        <w:rPr>
          <w:rFonts w:ascii="Arial" w:hAnsi="Arial" w:cs="Arial"/>
        </w:rPr>
        <w:t>Re:</w:t>
      </w:r>
      <w:r w:rsidR="00721FE0">
        <w:rPr>
          <w:rFonts w:ascii="Arial" w:hAnsi="Arial" w:cs="Arial"/>
        </w:rPr>
        <w:t xml:space="preserve"> </w:t>
      </w:r>
      <w:r w:rsidR="00040A40">
        <w:rPr>
          <w:rFonts w:ascii="Arial" w:hAnsi="Arial" w:cs="Arial"/>
        </w:rPr>
        <w:t xml:space="preserve"> </w:t>
      </w:r>
      <w:r w:rsidR="00CD473A">
        <w:rPr>
          <w:rFonts w:ascii="Arial" w:hAnsi="Arial" w:cs="Arial"/>
        </w:rPr>
        <w:tab/>
      </w:r>
      <w:r w:rsidR="008C71C0">
        <w:rPr>
          <w:rFonts w:ascii="Arial" w:hAnsi="Arial" w:cs="Arial"/>
        </w:rPr>
        <w:t>Travel Reimbursement</w:t>
      </w:r>
      <w:r w:rsidR="00E734C1">
        <w:rPr>
          <w:rFonts w:ascii="Arial" w:hAnsi="Arial" w:cs="Arial"/>
        </w:rPr>
        <w:t xml:space="preserve"> Policy </w:t>
      </w:r>
    </w:p>
    <w:p w:rsidR="00243B46" w:rsidRDefault="00243B46" w:rsidP="006029AF">
      <w:pPr>
        <w:rPr>
          <w:rFonts w:ascii="Arial" w:hAnsi="Arial" w:cs="Arial"/>
        </w:rPr>
      </w:pPr>
    </w:p>
    <w:p w:rsidR="006029AF" w:rsidRDefault="006029AF" w:rsidP="006029AF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Date:</w:t>
      </w:r>
      <w:r w:rsidR="00721FE0">
        <w:rPr>
          <w:rFonts w:ascii="Arial" w:hAnsi="Arial" w:cs="Arial"/>
        </w:rPr>
        <w:t xml:space="preserve"> </w:t>
      </w:r>
      <w:r w:rsidR="00CD473A">
        <w:rPr>
          <w:rFonts w:ascii="Arial" w:hAnsi="Arial" w:cs="Arial"/>
        </w:rPr>
        <w:tab/>
        <w:t>July 23, 2018</w:t>
      </w:r>
    </w:p>
    <w:p w:rsidR="006029AF" w:rsidRDefault="006029AF" w:rsidP="006029AF">
      <w:pPr>
        <w:rPr>
          <w:rFonts w:ascii="Arial" w:hAnsi="Arial" w:cs="Arial"/>
        </w:rPr>
      </w:pPr>
    </w:p>
    <w:p w:rsidR="00DA3050" w:rsidRDefault="008C71C0" w:rsidP="00DA3050">
      <w:pPr>
        <w:rPr>
          <w:rFonts w:ascii="Arial" w:hAnsi="Arial" w:cs="Arial"/>
        </w:rPr>
      </w:pPr>
      <w:r>
        <w:rPr>
          <w:rFonts w:ascii="Arial" w:hAnsi="Arial" w:cs="Arial"/>
        </w:rPr>
        <w:t>The Office of Civil Legal Aid has a limited amount of funds available for reimbursement for</w:t>
      </w:r>
      <w:r w:rsidR="00AD3E90">
        <w:rPr>
          <w:rFonts w:ascii="Arial" w:hAnsi="Arial" w:cs="Arial"/>
        </w:rPr>
        <w:t xml:space="preserve"> case related out-</w:t>
      </w:r>
      <w:r w:rsidR="00A02345">
        <w:rPr>
          <w:rFonts w:ascii="Arial" w:hAnsi="Arial" w:cs="Arial"/>
        </w:rPr>
        <w:t>of</w:t>
      </w:r>
      <w:r w:rsidR="00AD3E90">
        <w:rPr>
          <w:rFonts w:ascii="Arial" w:hAnsi="Arial" w:cs="Arial"/>
        </w:rPr>
        <w:t>-</w:t>
      </w:r>
      <w:r w:rsidR="00A02345">
        <w:rPr>
          <w:rFonts w:ascii="Arial" w:hAnsi="Arial" w:cs="Arial"/>
        </w:rPr>
        <w:t>county travel.</w:t>
      </w:r>
      <w:r w:rsidR="00DA3050">
        <w:rPr>
          <w:rFonts w:ascii="Arial" w:hAnsi="Arial" w:cs="Arial"/>
        </w:rPr>
        <w:t xml:space="preserve"> The purpose of this policy is to</w:t>
      </w:r>
      <w:r w:rsidR="00761C0C">
        <w:rPr>
          <w:rFonts w:ascii="Arial" w:hAnsi="Arial" w:cs="Arial"/>
        </w:rPr>
        <w:t xml:space="preserve"> help OCLA-funded attorneys comply</w:t>
      </w:r>
      <w:r w:rsidR="00DA3050">
        <w:rPr>
          <w:rFonts w:ascii="Arial" w:hAnsi="Arial" w:cs="Arial"/>
        </w:rPr>
        <w:t xml:space="preserve"> with the Meaningful Legal Representation for Children and Youth in Washington’s Child Welfare System Standards of Practice</w:t>
      </w:r>
      <w:r w:rsidR="00761C0C">
        <w:rPr>
          <w:rFonts w:ascii="Arial" w:hAnsi="Arial" w:cs="Arial"/>
        </w:rPr>
        <w:t xml:space="preserve"> in cases where they are representing children outside of their county of practice</w:t>
      </w:r>
      <w:r w:rsidR="00DA3050">
        <w:rPr>
          <w:rFonts w:ascii="Arial" w:hAnsi="Arial" w:cs="Arial"/>
        </w:rPr>
        <w:t xml:space="preserve">. The standards call for attorneys to maintain sufficient and frequent contact with clients, including communicating in person. </w:t>
      </w:r>
    </w:p>
    <w:p w:rsidR="00761C0C" w:rsidRDefault="00761C0C" w:rsidP="00DA3050">
      <w:pPr>
        <w:rPr>
          <w:rFonts w:ascii="Arial" w:hAnsi="Arial" w:cs="Arial"/>
        </w:rPr>
      </w:pPr>
    </w:p>
    <w:p w:rsidR="00B53F7E" w:rsidRDefault="00DA3050" w:rsidP="00B53F7E">
      <w:pPr>
        <w:rPr>
          <w:rFonts w:ascii="Arial" w:hAnsi="Arial" w:cs="Arial"/>
        </w:rPr>
      </w:pPr>
      <w:r>
        <w:rPr>
          <w:rFonts w:ascii="Arial" w:hAnsi="Arial" w:cs="Arial"/>
        </w:rPr>
        <w:t>In person contact, where possible, is key to the attorney’s duty to gain the child’s trust and confidence</w:t>
      </w:r>
      <w:r w:rsidR="00E734C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E734C1">
        <w:rPr>
          <w:rFonts w:ascii="Arial" w:hAnsi="Arial" w:cs="Arial"/>
        </w:rPr>
        <w:t xml:space="preserve">The standards also call for attorneys to communicate regularly with numerous professionals involved in the child’s dependency case. Some of these communications may require attorney to travel to other counties. </w:t>
      </w:r>
      <w:r w:rsidR="00085E9E">
        <w:rPr>
          <w:rFonts w:ascii="Arial" w:hAnsi="Arial" w:cs="Arial"/>
        </w:rPr>
        <w:t>With these standards in mind, t</w:t>
      </w:r>
      <w:r w:rsidR="008C71C0">
        <w:rPr>
          <w:rFonts w:ascii="Arial" w:hAnsi="Arial" w:cs="Arial"/>
        </w:rPr>
        <w:t>he following policies apply:</w:t>
      </w:r>
    </w:p>
    <w:p w:rsidR="00AD3E90" w:rsidRDefault="00AD3E90" w:rsidP="00AD3E90">
      <w:pPr>
        <w:pStyle w:val="ListParagraph"/>
        <w:rPr>
          <w:rFonts w:ascii="Arial" w:hAnsi="Arial" w:cs="Arial"/>
        </w:rPr>
      </w:pPr>
    </w:p>
    <w:p w:rsidR="008C71C0" w:rsidRDefault="00B763B8" w:rsidP="008C71C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Contractors</w:t>
      </w:r>
      <w:r w:rsidR="008C71C0">
        <w:rPr>
          <w:rFonts w:ascii="Arial" w:hAnsi="Arial" w:cs="Arial"/>
        </w:rPr>
        <w:t xml:space="preserve"> will be reimbursed f</w:t>
      </w:r>
      <w:r w:rsidR="003B2699">
        <w:rPr>
          <w:rFonts w:ascii="Arial" w:hAnsi="Arial" w:cs="Arial"/>
        </w:rPr>
        <w:t>or travel of 100 miles round trip or more only</w:t>
      </w:r>
      <w:r w:rsidR="008C71C0">
        <w:rPr>
          <w:rFonts w:ascii="Arial" w:hAnsi="Arial" w:cs="Arial"/>
        </w:rPr>
        <w:t>.</w:t>
      </w:r>
    </w:p>
    <w:p w:rsidR="008C71C0" w:rsidRDefault="0073439C" w:rsidP="008C71C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There is no guarantee that funds will be available</w:t>
      </w:r>
      <w:r w:rsidR="00761C0C">
        <w:rPr>
          <w:rFonts w:ascii="Arial" w:hAnsi="Arial" w:cs="Arial"/>
        </w:rPr>
        <w:t>.  R</w:t>
      </w:r>
      <w:r w:rsidR="008C71C0">
        <w:rPr>
          <w:rFonts w:ascii="Arial" w:hAnsi="Arial" w:cs="Arial"/>
        </w:rPr>
        <w:t xml:space="preserve">eimbursement </w:t>
      </w:r>
      <w:r w:rsidR="00AD3E90">
        <w:rPr>
          <w:rFonts w:ascii="Arial" w:hAnsi="Arial" w:cs="Arial"/>
        </w:rPr>
        <w:t>will be provided as</w:t>
      </w:r>
      <w:r w:rsidR="008C71C0">
        <w:rPr>
          <w:rFonts w:ascii="Arial" w:hAnsi="Arial" w:cs="Arial"/>
        </w:rPr>
        <w:t xml:space="preserve"> long as funds are available.</w:t>
      </w:r>
    </w:p>
    <w:p w:rsidR="0073439C" w:rsidRDefault="0073439C" w:rsidP="008C71C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Regardless of whether funds are available, attorneys are expected to find ways to meet with their clients, consistent with applicable standards.</w:t>
      </w:r>
    </w:p>
    <w:p w:rsidR="00B763B8" w:rsidRDefault="00B763B8" w:rsidP="008C71C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Travel must be directly case rela</w:t>
      </w:r>
      <w:r w:rsidR="00761C0C">
        <w:rPr>
          <w:rFonts w:ascii="Arial" w:hAnsi="Arial" w:cs="Arial"/>
        </w:rPr>
        <w:t>ted and necessary for standards-</w:t>
      </w:r>
      <w:r>
        <w:rPr>
          <w:rFonts w:ascii="Arial" w:hAnsi="Arial" w:cs="Arial"/>
        </w:rPr>
        <w:t>based, effective representation.</w:t>
      </w:r>
    </w:p>
    <w:p w:rsidR="00B763B8" w:rsidRDefault="00B763B8" w:rsidP="008C71C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Contractor</w:t>
      </w:r>
      <w:r w:rsidR="00CD473A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must select the travel alternative that is most economical.</w:t>
      </w:r>
    </w:p>
    <w:p w:rsidR="008C71C0" w:rsidRDefault="00B763B8" w:rsidP="008C71C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Contractors</w:t>
      </w:r>
      <w:r w:rsidR="008C71C0">
        <w:rPr>
          <w:rFonts w:ascii="Arial" w:hAnsi="Arial" w:cs="Arial"/>
        </w:rPr>
        <w:t xml:space="preserve"> wi</w:t>
      </w:r>
      <w:r w:rsidR="00AD3E90">
        <w:rPr>
          <w:rFonts w:ascii="Arial" w:hAnsi="Arial" w:cs="Arial"/>
        </w:rPr>
        <w:t>ll be reimbursed at the ra</w:t>
      </w:r>
      <w:r>
        <w:rPr>
          <w:rFonts w:ascii="Arial" w:hAnsi="Arial" w:cs="Arial"/>
        </w:rPr>
        <w:t>te set by the Washington State O</w:t>
      </w:r>
      <w:r w:rsidR="00AD3E90"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fice of  </w:t>
      </w:r>
      <w:r w:rsidR="00AD3E90">
        <w:rPr>
          <w:rFonts w:ascii="Arial" w:hAnsi="Arial" w:cs="Arial"/>
        </w:rPr>
        <w:t xml:space="preserve"> Financial Management (OFM) which </w:t>
      </w:r>
      <w:r w:rsidR="00CD473A">
        <w:rPr>
          <w:rFonts w:ascii="Arial" w:hAnsi="Arial" w:cs="Arial"/>
        </w:rPr>
        <w:t>is .545 per mile, effective January 1, 2018</w:t>
      </w:r>
      <w:r w:rsidR="008C71C0">
        <w:rPr>
          <w:rFonts w:ascii="Arial" w:hAnsi="Arial" w:cs="Arial"/>
        </w:rPr>
        <w:t>.</w:t>
      </w:r>
    </w:p>
    <w:p w:rsidR="008C71C0" w:rsidRDefault="00A02345" w:rsidP="008C71C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Prior </w:t>
      </w:r>
      <w:r w:rsidR="0073439C">
        <w:rPr>
          <w:rFonts w:ascii="Arial" w:hAnsi="Arial" w:cs="Arial"/>
        </w:rPr>
        <w:t xml:space="preserve">OCLA </w:t>
      </w:r>
      <w:r>
        <w:rPr>
          <w:rFonts w:ascii="Arial" w:hAnsi="Arial" w:cs="Arial"/>
        </w:rPr>
        <w:t>approval is required for any air travel.</w:t>
      </w:r>
      <w:r w:rsidR="00AD3E90">
        <w:rPr>
          <w:rFonts w:ascii="Arial" w:hAnsi="Arial" w:cs="Arial"/>
        </w:rPr>
        <w:t xml:space="preserve"> </w:t>
      </w:r>
      <w:r w:rsidR="0073439C">
        <w:rPr>
          <w:rFonts w:ascii="Arial" w:hAnsi="Arial" w:cs="Arial"/>
        </w:rPr>
        <w:t>Air travel must be scheduled through the Children’s Representation Program Manager.</w:t>
      </w:r>
    </w:p>
    <w:p w:rsidR="00B763B8" w:rsidRDefault="00B763B8" w:rsidP="008C71C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Request for prior approval must be submitted at least </w:t>
      </w:r>
      <w:r w:rsidR="00761C0C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 days prior to date of travel.</w:t>
      </w:r>
    </w:p>
    <w:p w:rsidR="00AD3E90" w:rsidRDefault="00B763B8" w:rsidP="00761C0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761C0C">
        <w:rPr>
          <w:rFonts w:ascii="Arial" w:hAnsi="Arial" w:cs="Arial"/>
        </w:rPr>
        <w:lastRenderedPageBreak/>
        <w:t>Contractors</w:t>
      </w:r>
      <w:r w:rsidR="00AD3E90" w:rsidRPr="00761C0C">
        <w:rPr>
          <w:rFonts w:ascii="Arial" w:hAnsi="Arial" w:cs="Arial"/>
        </w:rPr>
        <w:t xml:space="preserve"> must complete the </w:t>
      </w:r>
      <w:r w:rsidR="00CD473A">
        <w:rPr>
          <w:rFonts w:ascii="Arial" w:hAnsi="Arial" w:cs="Arial"/>
        </w:rPr>
        <w:t>T</w:t>
      </w:r>
      <w:r w:rsidR="00CD473A" w:rsidRPr="00761C0C">
        <w:rPr>
          <w:rFonts w:ascii="Arial" w:hAnsi="Arial" w:cs="Arial"/>
        </w:rPr>
        <w:t xml:space="preserve">ravel </w:t>
      </w:r>
      <w:r w:rsidR="00CD473A">
        <w:rPr>
          <w:rFonts w:ascii="Arial" w:hAnsi="Arial" w:cs="Arial"/>
        </w:rPr>
        <w:t>Expense V</w:t>
      </w:r>
      <w:r w:rsidR="00CD473A" w:rsidRPr="00761C0C">
        <w:rPr>
          <w:rFonts w:ascii="Arial" w:hAnsi="Arial" w:cs="Arial"/>
        </w:rPr>
        <w:t xml:space="preserve">oucher </w:t>
      </w:r>
      <w:r w:rsidR="00AD3E90" w:rsidRPr="00761C0C">
        <w:rPr>
          <w:rFonts w:ascii="Arial" w:hAnsi="Arial" w:cs="Arial"/>
        </w:rPr>
        <w:t>provided by OCLA and provide the supporting information/documentation (date</w:t>
      </w:r>
      <w:r w:rsidR="00CD473A">
        <w:rPr>
          <w:rFonts w:ascii="Arial" w:hAnsi="Arial" w:cs="Arial"/>
        </w:rPr>
        <w:t xml:space="preserve"> and time</w:t>
      </w:r>
      <w:r w:rsidR="00AD3E90" w:rsidRPr="00761C0C">
        <w:rPr>
          <w:rFonts w:ascii="Arial" w:hAnsi="Arial" w:cs="Arial"/>
        </w:rPr>
        <w:t xml:space="preserve"> of travel, purpose for travel, mileage, starting location and ending location).</w:t>
      </w:r>
    </w:p>
    <w:p w:rsidR="00CD473A" w:rsidRPr="00761C0C" w:rsidRDefault="00CD473A" w:rsidP="00761C0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Travel Expense Vouchers need to</w:t>
      </w:r>
      <w:r w:rsidRPr="00845411">
        <w:rPr>
          <w:rFonts w:ascii="Arial" w:hAnsi="Arial" w:cs="Arial"/>
        </w:rPr>
        <w:t xml:space="preserve"> be submitted within 10 calendar days after the close of the billing period, whether billing on</w:t>
      </w:r>
      <w:r>
        <w:rPr>
          <w:rFonts w:ascii="Arial" w:hAnsi="Arial" w:cs="Arial"/>
        </w:rPr>
        <w:t xml:space="preserve"> a monthly or quarterly basis. All Travel Expense Vouchers</w:t>
      </w:r>
      <w:r w:rsidRPr="00845411">
        <w:rPr>
          <w:rFonts w:ascii="Arial" w:hAnsi="Arial" w:cs="Arial"/>
        </w:rPr>
        <w:t xml:space="preserve"> submitted beyond 30 days after the billing period will no</w:t>
      </w:r>
      <w:r>
        <w:rPr>
          <w:rFonts w:ascii="Arial" w:hAnsi="Arial" w:cs="Arial"/>
        </w:rPr>
        <w:t>t be paid</w:t>
      </w:r>
      <w:r w:rsidRPr="00F802F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with the exception of</w:t>
      </w:r>
      <w:r w:rsidRPr="00F802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June 2019 Travel Expense Vouchers</w:t>
      </w:r>
      <w:r w:rsidRPr="00F802F9">
        <w:rPr>
          <w:rFonts w:ascii="Arial" w:hAnsi="Arial" w:cs="Arial"/>
        </w:rPr>
        <w:t xml:space="preserve"> submitted after </w:t>
      </w:r>
      <w:r>
        <w:rPr>
          <w:rFonts w:ascii="Arial" w:hAnsi="Arial" w:cs="Arial"/>
        </w:rPr>
        <w:t xml:space="preserve">July 15, 2019, will not be paid.  </w:t>
      </w:r>
      <w:r w:rsidRPr="00110FD3">
        <w:rPr>
          <w:rFonts w:ascii="Arial" w:hAnsi="Arial" w:cs="Arial"/>
        </w:rPr>
        <w:t xml:space="preserve">OCLA will </w:t>
      </w:r>
      <w:r>
        <w:rPr>
          <w:rFonts w:ascii="Arial" w:hAnsi="Arial" w:cs="Arial"/>
        </w:rPr>
        <w:t>process</w:t>
      </w:r>
      <w:r w:rsidRPr="00110FD3">
        <w:rPr>
          <w:rFonts w:ascii="Arial" w:hAnsi="Arial" w:cs="Arial"/>
        </w:rPr>
        <w:t xml:space="preserve"> payments on a timely basis consistent with the payment terms in our underlying contract with the </w:t>
      </w:r>
      <w:r>
        <w:rPr>
          <w:rFonts w:ascii="Arial" w:hAnsi="Arial" w:cs="Arial"/>
        </w:rPr>
        <w:t>Contractor</w:t>
      </w:r>
      <w:r w:rsidRPr="00110FD3">
        <w:rPr>
          <w:rFonts w:ascii="Arial" w:hAnsi="Arial" w:cs="Arial"/>
        </w:rPr>
        <w:t>.</w:t>
      </w:r>
    </w:p>
    <w:sectPr w:rsidR="00CD473A" w:rsidRPr="00761C0C" w:rsidSect="006029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86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E85" w:rsidRDefault="00035E85" w:rsidP="009D602E">
      <w:r>
        <w:separator/>
      </w:r>
    </w:p>
  </w:endnote>
  <w:endnote w:type="continuationSeparator" w:id="0">
    <w:p w:rsidR="00035E85" w:rsidRDefault="00035E85" w:rsidP="009D6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78B" w:rsidRDefault="008C07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78B" w:rsidRDefault="008C078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78B" w:rsidRDefault="008C07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E85" w:rsidRDefault="00035E85" w:rsidP="009D602E">
      <w:r>
        <w:separator/>
      </w:r>
    </w:p>
  </w:footnote>
  <w:footnote w:type="continuationSeparator" w:id="0">
    <w:p w:rsidR="00035E85" w:rsidRDefault="00035E85" w:rsidP="009D60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78B" w:rsidRDefault="008C07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78B" w:rsidRPr="008C078B" w:rsidRDefault="008C078B">
    <w:pPr>
      <w:pStyle w:val="Header"/>
      <w:rPr>
        <w:rFonts w:ascii="Arial" w:hAnsi="Arial" w:cs="Arial"/>
      </w:rPr>
    </w:pPr>
    <w:r w:rsidRPr="008C078B">
      <w:rPr>
        <w:rFonts w:ascii="Arial" w:hAnsi="Arial" w:cs="Arial"/>
      </w:rPr>
      <w:t>OCLA Policy Re: Travel Reimbursement</w:t>
    </w:r>
  </w:p>
  <w:p w:rsidR="0029510E" w:rsidRPr="008C078B" w:rsidRDefault="00B015C2">
    <w:pPr>
      <w:pStyle w:val="Header"/>
      <w:rPr>
        <w:rFonts w:ascii="Arial" w:hAnsi="Arial" w:cs="Arial"/>
      </w:rPr>
    </w:pPr>
    <w:r w:rsidRPr="008C078B">
      <w:rPr>
        <w:rFonts w:ascii="Arial" w:hAnsi="Arial" w:cs="Arial"/>
      </w:rPr>
      <w:fldChar w:fldCharType="begin"/>
    </w:r>
    <w:r w:rsidR="0004498B" w:rsidRPr="008C078B">
      <w:rPr>
        <w:rFonts w:ascii="Arial" w:hAnsi="Arial" w:cs="Arial"/>
      </w:rPr>
      <w:instrText xml:space="preserve"> DATE \@ "M/d/yyyy" </w:instrText>
    </w:r>
    <w:r w:rsidRPr="008C078B">
      <w:rPr>
        <w:rFonts w:ascii="Arial" w:hAnsi="Arial" w:cs="Arial"/>
      </w:rPr>
      <w:fldChar w:fldCharType="separate"/>
    </w:r>
    <w:r w:rsidR="00C85279" w:rsidRPr="008C078B">
      <w:rPr>
        <w:rFonts w:ascii="Arial" w:hAnsi="Arial" w:cs="Arial"/>
        <w:noProof/>
      </w:rPr>
      <w:t>7/23</w:t>
    </w:r>
    <w:r w:rsidR="00B767E3" w:rsidRPr="008C078B">
      <w:rPr>
        <w:rFonts w:ascii="Arial" w:hAnsi="Arial" w:cs="Arial"/>
        <w:noProof/>
      </w:rPr>
      <w:t>/2018</w:t>
    </w:r>
    <w:r w:rsidRPr="008C078B">
      <w:rPr>
        <w:rFonts w:ascii="Arial" w:hAnsi="Arial" w:cs="Arial"/>
      </w:rPr>
      <w:fldChar w:fldCharType="end"/>
    </w:r>
  </w:p>
  <w:p w:rsidR="0029510E" w:rsidRDefault="0004498B">
    <w:pPr>
      <w:pStyle w:val="Header"/>
      <w:rPr>
        <w:rFonts w:ascii="Arial" w:hAnsi="Arial" w:cs="Arial"/>
        <w:noProof/>
      </w:rPr>
    </w:pPr>
    <w:r w:rsidRPr="008C078B">
      <w:rPr>
        <w:rFonts w:ascii="Arial" w:hAnsi="Arial" w:cs="Arial"/>
      </w:rPr>
      <w:t xml:space="preserve">Page </w:t>
    </w:r>
    <w:r w:rsidR="00B015C2" w:rsidRPr="008C078B">
      <w:rPr>
        <w:rFonts w:ascii="Arial" w:hAnsi="Arial" w:cs="Arial"/>
      </w:rPr>
      <w:fldChar w:fldCharType="begin"/>
    </w:r>
    <w:r w:rsidRPr="008C078B">
      <w:rPr>
        <w:rFonts w:ascii="Arial" w:hAnsi="Arial" w:cs="Arial"/>
      </w:rPr>
      <w:instrText xml:space="preserve"> PAGE </w:instrText>
    </w:r>
    <w:r w:rsidR="00B015C2" w:rsidRPr="008C078B">
      <w:rPr>
        <w:rFonts w:ascii="Arial" w:hAnsi="Arial" w:cs="Arial"/>
      </w:rPr>
      <w:fldChar w:fldCharType="separate"/>
    </w:r>
    <w:r w:rsidR="008C078B">
      <w:rPr>
        <w:rFonts w:ascii="Arial" w:hAnsi="Arial" w:cs="Arial"/>
        <w:noProof/>
      </w:rPr>
      <w:t>2</w:t>
    </w:r>
    <w:r w:rsidR="00B015C2" w:rsidRPr="008C078B">
      <w:rPr>
        <w:rFonts w:ascii="Arial" w:hAnsi="Arial" w:cs="Arial"/>
        <w:noProof/>
      </w:rPr>
      <w:fldChar w:fldCharType="end"/>
    </w:r>
    <w:r w:rsidRPr="008C078B">
      <w:rPr>
        <w:rFonts w:ascii="Arial" w:hAnsi="Arial" w:cs="Arial"/>
      </w:rPr>
      <w:t xml:space="preserve"> of </w:t>
    </w:r>
    <w:r w:rsidR="00157EE0" w:rsidRPr="008C078B">
      <w:rPr>
        <w:rFonts w:ascii="Arial" w:hAnsi="Arial" w:cs="Arial"/>
      </w:rPr>
      <w:fldChar w:fldCharType="begin"/>
    </w:r>
    <w:r w:rsidR="00157EE0" w:rsidRPr="008C078B">
      <w:rPr>
        <w:rFonts w:ascii="Arial" w:hAnsi="Arial" w:cs="Arial"/>
      </w:rPr>
      <w:instrText xml:space="preserve"> NUMPAGES </w:instrText>
    </w:r>
    <w:r w:rsidR="00157EE0" w:rsidRPr="008C078B">
      <w:rPr>
        <w:rFonts w:ascii="Arial" w:hAnsi="Arial" w:cs="Arial"/>
      </w:rPr>
      <w:fldChar w:fldCharType="separate"/>
    </w:r>
    <w:r w:rsidR="008C078B">
      <w:rPr>
        <w:rFonts w:ascii="Arial" w:hAnsi="Arial" w:cs="Arial"/>
        <w:noProof/>
      </w:rPr>
      <w:t>2</w:t>
    </w:r>
    <w:r w:rsidR="00157EE0" w:rsidRPr="008C078B">
      <w:rPr>
        <w:rFonts w:ascii="Arial" w:hAnsi="Arial" w:cs="Arial"/>
        <w:noProof/>
      </w:rPr>
      <w:fldChar w:fldCharType="end"/>
    </w:r>
  </w:p>
  <w:p w:rsidR="008C078B" w:rsidRDefault="008C078B">
    <w:pPr>
      <w:pStyle w:val="Header"/>
      <w:rPr>
        <w:rFonts w:ascii="Arial" w:hAnsi="Arial" w:cs="Arial"/>
        <w:noProof/>
      </w:rPr>
    </w:pPr>
    <w:bookmarkStart w:id="0" w:name="_GoBack"/>
    <w:bookmarkEnd w:id="0"/>
  </w:p>
  <w:p w:rsidR="008C078B" w:rsidRPr="008C078B" w:rsidRDefault="008C078B">
    <w:pPr>
      <w:pStyle w:val="Head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73A" w:rsidRDefault="00CD473A" w:rsidP="00CD473A">
    <w:pPr>
      <w:pStyle w:val="Header"/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br/>
    </w:r>
    <w:r>
      <w:rPr>
        <w:noProof/>
      </w:rPr>
      <w:drawing>
        <wp:anchor distT="0" distB="0" distL="114300" distR="114300" simplePos="0" relativeHeight="251661312" behindDoc="0" locked="0" layoutInCell="1" allowOverlap="1" wp14:anchorId="422BDE1D" wp14:editId="27F4D4EE">
          <wp:simplePos x="0" y="0"/>
          <wp:positionH relativeFrom="column">
            <wp:posOffset>2564130</wp:posOffset>
          </wp:positionH>
          <wp:positionV relativeFrom="paragraph">
            <wp:posOffset>121920</wp:posOffset>
          </wp:positionV>
          <wp:extent cx="598170" cy="571500"/>
          <wp:effectExtent l="19050" t="0" r="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7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95DF6">
      <w:rPr>
        <w:rFonts w:ascii="Arial" w:hAnsi="Arial" w:cs="Arial"/>
        <w:sz w:val="28"/>
        <w:szCs w:val="28"/>
      </w:rPr>
      <w:t>Washington State Office of Civil Legal Aid</w:t>
    </w:r>
  </w:p>
  <w:p w:rsidR="00CD473A" w:rsidRDefault="00CD473A" w:rsidP="00CD473A">
    <w:pPr>
      <w:pStyle w:val="Header"/>
      <w:jc w:val="center"/>
      <w:rPr>
        <w:rFonts w:ascii="Arial" w:hAnsi="Arial" w:cs="Arial"/>
        <w:sz w:val="28"/>
        <w:szCs w:val="28"/>
      </w:rPr>
    </w:pPr>
  </w:p>
  <w:p w:rsidR="00CD473A" w:rsidRPr="00095DF6" w:rsidRDefault="00CD473A" w:rsidP="00CD473A">
    <w:pPr>
      <w:pStyle w:val="Header"/>
      <w:tabs>
        <w:tab w:val="clear" w:pos="4320"/>
        <w:tab w:val="clear" w:pos="8640"/>
      </w:tabs>
      <w:ind w:left="-720" w:right="-1152"/>
      <w:jc w:val="both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110 </w:t>
    </w:r>
    <w:proofErr w:type="spellStart"/>
    <w:r>
      <w:rPr>
        <w:rFonts w:ascii="Arial" w:hAnsi="Arial" w:cs="Arial"/>
        <w:sz w:val="20"/>
        <w:szCs w:val="20"/>
      </w:rPr>
      <w:t>Prefontaine</w:t>
    </w:r>
    <w:proofErr w:type="spellEnd"/>
    <w:r>
      <w:rPr>
        <w:rFonts w:ascii="Arial" w:hAnsi="Arial" w:cs="Arial"/>
        <w:sz w:val="20"/>
        <w:szCs w:val="20"/>
      </w:rPr>
      <w:t xml:space="preserve"> Pl S, </w:t>
    </w:r>
    <w:proofErr w:type="spellStart"/>
    <w:r>
      <w:rPr>
        <w:rFonts w:ascii="Arial" w:hAnsi="Arial" w:cs="Arial"/>
        <w:sz w:val="20"/>
        <w:szCs w:val="20"/>
      </w:rPr>
      <w:t>Ste</w:t>
    </w:r>
    <w:proofErr w:type="spellEnd"/>
    <w:r>
      <w:rPr>
        <w:rFonts w:ascii="Arial" w:hAnsi="Arial" w:cs="Arial"/>
        <w:sz w:val="20"/>
        <w:szCs w:val="20"/>
      </w:rPr>
      <w:t xml:space="preserve"> 610</w:t>
    </w:r>
    <w:r w:rsidRPr="00095DF6">
      <w:rPr>
        <w:rFonts w:ascii="Arial" w:hAnsi="Arial" w:cs="Arial"/>
        <w:sz w:val="20"/>
        <w:szCs w:val="20"/>
      </w:rPr>
      <w:tab/>
    </w:r>
    <w:r w:rsidRPr="00095DF6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 xml:space="preserve">   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>Jill Malat, Program Manager</w:t>
    </w:r>
  </w:p>
  <w:p w:rsidR="00CD473A" w:rsidRDefault="00CD473A" w:rsidP="00CD473A">
    <w:pPr>
      <w:pStyle w:val="Header"/>
      <w:tabs>
        <w:tab w:val="clear" w:pos="4320"/>
        <w:tab w:val="clear" w:pos="8640"/>
      </w:tabs>
      <w:ind w:left="-720" w:right="-1152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Seattle, WA 98104   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 xml:space="preserve">Children’s Representation Program </w:t>
    </w:r>
  </w:p>
  <w:p w:rsidR="00CD473A" w:rsidRDefault="00CD473A" w:rsidP="00CD473A">
    <w:pPr>
      <w:pStyle w:val="Header"/>
      <w:tabs>
        <w:tab w:val="clear" w:pos="4320"/>
        <w:tab w:val="clear" w:pos="8640"/>
      </w:tabs>
      <w:ind w:left="-720" w:right="-1152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(206) 923-7761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hyperlink r:id="rId2" w:history="1">
      <w:r w:rsidRPr="00A42B55">
        <w:rPr>
          <w:rStyle w:val="Hyperlink"/>
          <w:rFonts w:ascii="Arial" w:hAnsi="Arial" w:cs="Arial"/>
          <w:sz w:val="20"/>
          <w:szCs w:val="20"/>
        </w:rPr>
        <w:t>jill.malat@ocla.wa.gov</w:t>
      </w:r>
    </w:hyperlink>
    <w:r>
      <w:rPr>
        <w:rFonts w:ascii="Arial" w:hAnsi="Arial" w:cs="Arial"/>
        <w:sz w:val="20"/>
        <w:szCs w:val="20"/>
      </w:rPr>
      <w:t xml:space="preserve"> </w:t>
    </w:r>
  </w:p>
  <w:p w:rsidR="00CD473A" w:rsidRDefault="00CD473A" w:rsidP="00CD473A">
    <w:pPr>
      <w:pStyle w:val="Header"/>
      <w:tabs>
        <w:tab w:val="clear" w:pos="4320"/>
        <w:tab w:val="clear" w:pos="8640"/>
      </w:tabs>
      <w:ind w:left="-720" w:right="-1152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(360) 972-5794</w:t>
    </w:r>
  </w:p>
  <w:p w:rsidR="00CD473A" w:rsidRDefault="00CD473A" w:rsidP="00761C0C">
    <w:pPr>
      <w:pStyle w:val="Header"/>
      <w:ind w:right="-1152"/>
      <w:rPr>
        <w:rFonts w:ascii="Arial" w:hAnsi="Arial" w:cs="Arial"/>
        <w:sz w:val="20"/>
        <w:szCs w:val="20"/>
      </w:rPr>
    </w:pPr>
  </w:p>
  <w:p w:rsidR="0029510E" w:rsidRPr="00761C0C" w:rsidRDefault="00351257" w:rsidP="00761C0C">
    <w:pPr>
      <w:pStyle w:val="Header"/>
      <w:ind w:right="-1152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  <w:t xml:space="preserve">               </w:t>
    </w:r>
    <w:r w:rsidR="00761C0C">
      <w:rPr>
        <w:rFonts w:ascii="Arial" w:hAnsi="Arial" w:cs="Arial"/>
        <w:sz w:val="20"/>
        <w:szCs w:val="20"/>
      </w:rPr>
      <w:t xml:space="preserve">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3436D"/>
    <w:multiLevelType w:val="hybridMultilevel"/>
    <w:tmpl w:val="C6240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6E7EAE"/>
    <w:multiLevelType w:val="hybridMultilevel"/>
    <w:tmpl w:val="DD4681AA"/>
    <w:lvl w:ilvl="0" w:tplc="B4722334">
      <w:start w:val="1"/>
      <w:numFmt w:val="decimal"/>
      <w:lvlText w:val="%1.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35E32F0"/>
    <w:multiLevelType w:val="hybridMultilevel"/>
    <w:tmpl w:val="C0061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02E"/>
    <w:rsid w:val="000010E6"/>
    <w:rsid w:val="00003A26"/>
    <w:rsid w:val="00005FA2"/>
    <w:rsid w:val="00035E85"/>
    <w:rsid w:val="00040A40"/>
    <w:rsid w:val="0004498B"/>
    <w:rsid w:val="000625AF"/>
    <w:rsid w:val="000713CE"/>
    <w:rsid w:val="00085E9E"/>
    <w:rsid w:val="000A5D24"/>
    <w:rsid w:val="000B1BE5"/>
    <w:rsid w:val="000B553A"/>
    <w:rsid w:val="001240D9"/>
    <w:rsid w:val="00157EE0"/>
    <w:rsid w:val="001701E8"/>
    <w:rsid w:val="00192A85"/>
    <w:rsid w:val="00214356"/>
    <w:rsid w:val="00243B46"/>
    <w:rsid w:val="00273A48"/>
    <w:rsid w:val="002C75BB"/>
    <w:rsid w:val="002E3C6F"/>
    <w:rsid w:val="0031125E"/>
    <w:rsid w:val="0031292D"/>
    <w:rsid w:val="00346999"/>
    <w:rsid w:val="00351257"/>
    <w:rsid w:val="003B2699"/>
    <w:rsid w:val="00422058"/>
    <w:rsid w:val="00435CEB"/>
    <w:rsid w:val="004B4E1C"/>
    <w:rsid w:val="004D2DAA"/>
    <w:rsid w:val="00510A59"/>
    <w:rsid w:val="00565225"/>
    <w:rsid w:val="005B78EC"/>
    <w:rsid w:val="005C2F8F"/>
    <w:rsid w:val="006029AF"/>
    <w:rsid w:val="0063504A"/>
    <w:rsid w:val="00683864"/>
    <w:rsid w:val="00693C5F"/>
    <w:rsid w:val="00721FE0"/>
    <w:rsid w:val="00724300"/>
    <w:rsid w:val="007246D2"/>
    <w:rsid w:val="0073439C"/>
    <w:rsid w:val="00736DED"/>
    <w:rsid w:val="007468AD"/>
    <w:rsid w:val="00761C0C"/>
    <w:rsid w:val="007726B8"/>
    <w:rsid w:val="008854D1"/>
    <w:rsid w:val="00897D47"/>
    <w:rsid w:val="008A3693"/>
    <w:rsid w:val="008A622B"/>
    <w:rsid w:val="008C078B"/>
    <w:rsid w:val="008C71C0"/>
    <w:rsid w:val="00905325"/>
    <w:rsid w:val="009349F2"/>
    <w:rsid w:val="00982EA8"/>
    <w:rsid w:val="009C436D"/>
    <w:rsid w:val="009D602E"/>
    <w:rsid w:val="00A02345"/>
    <w:rsid w:val="00A352F8"/>
    <w:rsid w:val="00A94609"/>
    <w:rsid w:val="00A94980"/>
    <w:rsid w:val="00AB2B53"/>
    <w:rsid w:val="00AC7D85"/>
    <w:rsid w:val="00AD3E90"/>
    <w:rsid w:val="00AD7287"/>
    <w:rsid w:val="00B015C2"/>
    <w:rsid w:val="00B0229E"/>
    <w:rsid w:val="00B22816"/>
    <w:rsid w:val="00B513A6"/>
    <w:rsid w:val="00B53F7E"/>
    <w:rsid w:val="00B634B0"/>
    <w:rsid w:val="00B763B8"/>
    <w:rsid w:val="00B767E3"/>
    <w:rsid w:val="00B911D1"/>
    <w:rsid w:val="00BA0AA7"/>
    <w:rsid w:val="00BA1CE5"/>
    <w:rsid w:val="00C22ABB"/>
    <w:rsid w:val="00C25DD3"/>
    <w:rsid w:val="00C61E30"/>
    <w:rsid w:val="00C66E41"/>
    <w:rsid w:val="00C85279"/>
    <w:rsid w:val="00C943A0"/>
    <w:rsid w:val="00CB1DDA"/>
    <w:rsid w:val="00CC633D"/>
    <w:rsid w:val="00CD1121"/>
    <w:rsid w:val="00CD473A"/>
    <w:rsid w:val="00D17E62"/>
    <w:rsid w:val="00D701A6"/>
    <w:rsid w:val="00D809D6"/>
    <w:rsid w:val="00DA3050"/>
    <w:rsid w:val="00DB531D"/>
    <w:rsid w:val="00DD2415"/>
    <w:rsid w:val="00E24CA3"/>
    <w:rsid w:val="00E54157"/>
    <w:rsid w:val="00E734C1"/>
    <w:rsid w:val="00E92710"/>
    <w:rsid w:val="00ED54EF"/>
    <w:rsid w:val="00F0129C"/>
    <w:rsid w:val="00F102B9"/>
    <w:rsid w:val="00F26ABF"/>
    <w:rsid w:val="00F33D50"/>
    <w:rsid w:val="00FD1AB9"/>
    <w:rsid w:val="00FF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A72A6BF-25FE-47FD-8AD4-6F5CBB14C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D602E"/>
    <w:rPr>
      <w:color w:val="0000FF"/>
      <w:u w:val="single"/>
    </w:rPr>
  </w:style>
  <w:style w:type="paragraph" w:styleId="Header">
    <w:name w:val="header"/>
    <w:basedOn w:val="Normal"/>
    <w:link w:val="HeaderChar"/>
    <w:rsid w:val="009D60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D602E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rsid w:val="009D602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D602E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rsid w:val="009D602E"/>
    <w:rPr>
      <w:vertAlign w:val="superscript"/>
    </w:rPr>
  </w:style>
  <w:style w:type="character" w:styleId="CommentReference">
    <w:name w:val="annotation reference"/>
    <w:basedOn w:val="DefaultParagraphFont"/>
    <w:uiPriority w:val="99"/>
    <w:rsid w:val="00AB2B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B2B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B2B5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B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B53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512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125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468AD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43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439C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8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jill.malat@ocla.wa.gov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16B629-B52F-465F-9796-A250D0FF0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jamesb</dc:creator>
  <cp:lastModifiedBy>Hough, Hope (OCLA)</cp:lastModifiedBy>
  <cp:revision>5</cp:revision>
  <cp:lastPrinted>2017-12-21T21:43:00Z</cp:lastPrinted>
  <dcterms:created xsi:type="dcterms:W3CDTF">2018-07-24T14:47:00Z</dcterms:created>
  <dcterms:modified xsi:type="dcterms:W3CDTF">2018-07-24T14:51:00Z</dcterms:modified>
</cp:coreProperties>
</file>