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5A11" w14:textId="73545CE9" w:rsidR="00083678" w:rsidRDefault="00780D1D" w:rsidP="00780D1D">
      <w:pPr>
        <w:spacing w:line="240" w:lineRule="auto"/>
        <w:rPr>
          <w:b/>
          <w:color w:val="FF0000"/>
          <w:sz w:val="28"/>
          <w:szCs w:val="28"/>
        </w:rPr>
      </w:pPr>
      <w:r>
        <w:rPr>
          <w:b/>
          <w:color w:val="FF0000"/>
          <w:sz w:val="28"/>
          <w:szCs w:val="28"/>
        </w:rPr>
        <w:t>Please note: this template is provided as an example only.  It is the attorney’s</w:t>
      </w:r>
    </w:p>
    <w:p w14:paraId="067D59C6" w14:textId="7B92D95E" w:rsidR="00780D1D" w:rsidRPr="00780D1D" w:rsidRDefault="00780D1D" w:rsidP="00780D1D">
      <w:pPr>
        <w:spacing w:line="240" w:lineRule="auto"/>
        <w:rPr>
          <w:b/>
          <w:color w:val="FF0000"/>
          <w:sz w:val="28"/>
          <w:szCs w:val="28"/>
        </w:rPr>
      </w:pPr>
      <w:r>
        <w:rPr>
          <w:b/>
          <w:color w:val="FF0000"/>
          <w:sz w:val="28"/>
          <w:szCs w:val="28"/>
        </w:rPr>
        <w:t xml:space="preserve">Responsibility to assure case citations are current and make any necessary edits, changes or corrections. </w:t>
      </w:r>
    </w:p>
    <w:p w14:paraId="6ECB3F42" w14:textId="77777777" w:rsidR="00113842" w:rsidRPr="00113842" w:rsidRDefault="00113842" w:rsidP="00113842">
      <w:pPr>
        <w:suppressAutoHyphens/>
        <w:spacing w:line="240" w:lineRule="auto"/>
        <w:jc w:val="both"/>
        <w:rPr>
          <w:spacing w:val="-3"/>
          <w:szCs w:val="24"/>
        </w:rPr>
      </w:pPr>
    </w:p>
    <w:p w14:paraId="0646A9BC" w14:textId="77777777" w:rsidR="00113842" w:rsidRPr="00113842" w:rsidRDefault="00113842" w:rsidP="00113842">
      <w:pPr>
        <w:suppressAutoHyphens/>
        <w:spacing w:line="240" w:lineRule="auto"/>
        <w:jc w:val="both"/>
        <w:rPr>
          <w:spacing w:val="-3"/>
          <w:szCs w:val="24"/>
        </w:rPr>
      </w:pPr>
    </w:p>
    <w:p w14:paraId="5FEA545B" w14:textId="77777777" w:rsidR="00113842" w:rsidRPr="00113842" w:rsidRDefault="00113842" w:rsidP="00113842">
      <w:pPr>
        <w:spacing w:line="240" w:lineRule="exact"/>
        <w:jc w:val="center"/>
        <w:rPr>
          <w:b/>
          <w:sz w:val="28"/>
          <w:szCs w:val="28"/>
        </w:rPr>
      </w:pPr>
      <w:r w:rsidRPr="00113842">
        <w:rPr>
          <w:b/>
          <w:sz w:val="28"/>
          <w:szCs w:val="28"/>
        </w:rPr>
        <w:t>Superior Cour</w:t>
      </w:r>
      <w:smartTag w:uri="urn:schemas-microsoft-com:office:smarttags" w:element="PersonName">
        <w:r w:rsidRPr="00113842">
          <w:rPr>
            <w:b/>
            <w:sz w:val="28"/>
            <w:szCs w:val="28"/>
          </w:rPr>
          <w:t>t</w:t>
        </w:r>
      </w:smartTag>
      <w:r w:rsidRPr="00113842">
        <w:rPr>
          <w:b/>
          <w:sz w:val="28"/>
          <w:szCs w:val="28"/>
        </w:rPr>
        <w:t xml:space="preserve"> of </w:t>
      </w:r>
      <w:smartTag w:uri="urn:schemas-microsoft-com:office:smarttags" w:element="place">
        <w:smartTag w:uri="urn:schemas-microsoft-com:office:smarttags" w:element="State">
          <w:smartTag w:uri="urn:schemas:contacts" w:element="Sn">
            <w:r w:rsidRPr="00113842">
              <w:rPr>
                <w:b/>
                <w:sz w:val="28"/>
                <w:szCs w:val="28"/>
              </w:rPr>
              <w:t>Washing</w:t>
            </w:r>
            <w:smartTag w:uri="urn:schemas-microsoft-com:office:smarttags" w:element="PersonName">
              <w:r w:rsidRPr="00113842">
                <w:rPr>
                  <w:b/>
                  <w:sz w:val="28"/>
                  <w:szCs w:val="28"/>
                </w:rPr>
                <w:t>t</w:t>
              </w:r>
            </w:smartTag>
            <w:r w:rsidRPr="00113842">
              <w:rPr>
                <w:b/>
                <w:sz w:val="28"/>
                <w:szCs w:val="28"/>
              </w:rPr>
              <w:t>on</w:t>
            </w:r>
          </w:smartTag>
        </w:smartTag>
      </w:smartTag>
    </w:p>
    <w:p w14:paraId="3BB316B4" w14:textId="39AC4D9A" w:rsidR="00113842" w:rsidRPr="00113842" w:rsidRDefault="00113842" w:rsidP="00113842">
      <w:pPr>
        <w:tabs>
          <w:tab w:val="left" w:pos="720"/>
          <w:tab w:val="left" w:pos="1440"/>
          <w:tab w:val="left" w:pos="2160"/>
          <w:tab w:val="left" w:pos="2880"/>
          <w:tab w:val="left" w:pos="3384"/>
          <w:tab w:val="left" w:pos="5628"/>
          <w:tab w:val="left" w:pos="6144"/>
          <w:tab w:val="left" w:pos="6792"/>
          <w:tab w:val="left" w:pos="10080"/>
        </w:tabs>
        <w:spacing w:line="240" w:lineRule="exact"/>
        <w:jc w:val="center"/>
        <w:rPr>
          <w:b/>
          <w:sz w:val="28"/>
          <w:szCs w:val="28"/>
        </w:rPr>
      </w:pPr>
      <w:r w:rsidRPr="00113842">
        <w:rPr>
          <w:b/>
          <w:sz w:val="28"/>
          <w:szCs w:val="28"/>
        </w:rPr>
        <w:t xml:space="preserve">County of </w:t>
      </w:r>
    </w:p>
    <w:p w14:paraId="607AC397" w14:textId="77777777" w:rsidR="00113842" w:rsidRPr="00113842" w:rsidRDefault="00113842" w:rsidP="00113842">
      <w:pPr>
        <w:tabs>
          <w:tab w:val="left" w:pos="720"/>
          <w:tab w:val="left" w:pos="1440"/>
          <w:tab w:val="left" w:pos="2160"/>
          <w:tab w:val="left" w:pos="2880"/>
          <w:tab w:val="left" w:pos="3384"/>
          <w:tab w:val="left" w:pos="5628"/>
          <w:tab w:val="left" w:pos="6144"/>
          <w:tab w:val="left" w:pos="6792"/>
          <w:tab w:val="left" w:pos="10080"/>
        </w:tabs>
        <w:spacing w:line="240" w:lineRule="exact"/>
        <w:jc w:val="center"/>
        <w:rPr>
          <w:b/>
          <w:sz w:val="28"/>
          <w:szCs w:val="28"/>
        </w:rPr>
      </w:pPr>
      <w:r w:rsidRPr="00113842">
        <w:rPr>
          <w:b/>
          <w:sz w:val="28"/>
          <w:szCs w:val="28"/>
        </w:rPr>
        <w:t>Juvenile Court</w:t>
      </w:r>
    </w:p>
    <w:p w14:paraId="60AE6DA4"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jc w:val="both"/>
        <w:rPr>
          <w:sz w:val="16"/>
          <w:szCs w:val="16"/>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113842" w:rsidRPr="00113842" w14:paraId="4C8A5674" w14:textId="77777777" w:rsidTr="00421DA4">
        <w:trPr>
          <w:cantSplit/>
        </w:trPr>
        <w:tc>
          <w:tcPr>
            <w:tcW w:w="4975" w:type="dxa"/>
            <w:tcBorders>
              <w:top w:val="nil"/>
              <w:left w:val="nil"/>
              <w:bottom w:val="single" w:sz="12" w:space="0" w:color="auto"/>
              <w:right w:val="single" w:sz="12" w:space="0" w:color="auto"/>
            </w:tcBorders>
          </w:tcPr>
          <w:p w14:paraId="1EB11B1A"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jc w:val="both"/>
              <w:rPr>
                <w:b/>
                <w:sz w:val="22"/>
              </w:rPr>
            </w:pPr>
            <w:r w:rsidRPr="00113842">
              <w:rPr>
                <w:b/>
                <w:sz w:val="22"/>
              </w:rPr>
              <w:t>In re Interest of:</w:t>
            </w:r>
          </w:p>
          <w:p w14:paraId="0B6964DA"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jc w:val="both"/>
              <w:rPr>
                <w:b/>
                <w:sz w:val="16"/>
              </w:rPr>
            </w:pPr>
          </w:p>
          <w:p w14:paraId="654EBFB5" w14:textId="52A44DFE" w:rsidR="00113842" w:rsidRPr="00113842" w:rsidRDefault="00113842" w:rsidP="00113842">
            <w:pPr>
              <w:widowControl w:val="0"/>
              <w:autoSpaceDE w:val="0"/>
              <w:autoSpaceDN w:val="0"/>
              <w:adjustRightInd w:val="0"/>
              <w:spacing w:line="240" w:lineRule="auto"/>
              <w:ind w:left="-360" w:right="83"/>
              <w:rPr>
                <w:b/>
                <w:szCs w:val="24"/>
                <w:u w:color="000000"/>
              </w:rPr>
            </w:pPr>
            <w:r w:rsidRPr="00113842">
              <w:rPr>
                <w:b/>
                <w:szCs w:val="24"/>
                <w:u w:color="000000"/>
              </w:rPr>
              <w:t xml:space="preserve">      </w:t>
            </w:r>
            <w:r w:rsidR="000044E8">
              <w:rPr>
                <w:b/>
                <w:szCs w:val="24"/>
                <w:u w:color="000000"/>
              </w:rPr>
              <w:t>Jane</w:t>
            </w:r>
            <w:r w:rsidR="0028544D">
              <w:rPr>
                <w:b/>
                <w:szCs w:val="24"/>
                <w:u w:color="000000"/>
              </w:rPr>
              <w:t xml:space="preserve"> </w:t>
            </w:r>
            <w:r w:rsidR="000044E8">
              <w:rPr>
                <w:b/>
                <w:szCs w:val="24"/>
                <w:u w:color="000000"/>
              </w:rPr>
              <w:t>Doe</w:t>
            </w:r>
            <w:r w:rsidR="0028544D">
              <w:rPr>
                <w:b/>
                <w:szCs w:val="24"/>
                <w:u w:color="000000"/>
              </w:rPr>
              <w:t>,</w:t>
            </w:r>
          </w:p>
          <w:p w14:paraId="191D6BA8" w14:textId="2229EE6E" w:rsidR="00113842" w:rsidRPr="00113842" w:rsidRDefault="00113842" w:rsidP="00113842">
            <w:pPr>
              <w:widowControl w:val="0"/>
              <w:autoSpaceDE w:val="0"/>
              <w:autoSpaceDN w:val="0"/>
              <w:adjustRightInd w:val="0"/>
              <w:spacing w:line="240" w:lineRule="auto"/>
              <w:ind w:left="-360" w:right="83"/>
              <w:rPr>
                <w:sz w:val="22"/>
              </w:rPr>
            </w:pPr>
            <w:r w:rsidRPr="00113842">
              <w:rPr>
                <w:b/>
                <w:szCs w:val="24"/>
                <w:u w:color="000000"/>
              </w:rPr>
              <w:t xml:space="preserve">      DOB</w:t>
            </w:r>
          </w:p>
          <w:p w14:paraId="18B7CAE6"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rPr>
                <w:sz w:val="22"/>
              </w:rPr>
            </w:pPr>
            <w:r w:rsidRPr="00113842">
              <w:rPr>
                <w:sz w:val="22"/>
              </w:rPr>
              <w:t xml:space="preserve"> </w:t>
            </w:r>
          </w:p>
          <w:p w14:paraId="5DEF9C3D"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rPr>
                <w:sz w:val="22"/>
              </w:rPr>
            </w:pPr>
          </w:p>
          <w:p w14:paraId="4C49C353"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rPr>
                <w:sz w:val="22"/>
              </w:rPr>
            </w:pPr>
          </w:p>
          <w:p w14:paraId="44D727F6"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rPr>
                <w:sz w:val="22"/>
              </w:rPr>
            </w:pPr>
          </w:p>
        </w:tc>
        <w:tc>
          <w:tcPr>
            <w:tcW w:w="4385" w:type="dxa"/>
            <w:tcBorders>
              <w:top w:val="nil"/>
              <w:left w:val="nil"/>
              <w:bottom w:val="single" w:sz="12" w:space="0" w:color="auto"/>
              <w:right w:val="nil"/>
            </w:tcBorders>
          </w:tcPr>
          <w:p w14:paraId="0D24D5EC"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jc w:val="both"/>
              <w:rPr>
                <w:b/>
                <w:sz w:val="16"/>
                <w:szCs w:val="16"/>
              </w:rPr>
            </w:pPr>
          </w:p>
          <w:p w14:paraId="592F7222" w14:textId="77777777"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jc w:val="both"/>
              <w:rPr>
                <w:b/>
                <w:sz w:val="16"/>
                <w:szCs w:val="16"/>
              </w:rPr>
            </w:pPr>
          </w:p>
          <w:p w14:paraId="396AAD62" w14:textId="0AE7BFC0" w:rsidR="00113842" w:rsidRPr="00113842" w:rsidRDefault="00113842" w:rsidP="00113842">
            <w:pPr>
              <w:tabs>
                <w:tab w:val="left" w:pos="720"/>
                <w:tab w:val="left" w:pos="1440"/>
                <w:tab w:val="left" w:pos="2160"/>
                <w:tab w:val="left" w:pos="2880"/>
                <w:tab w:val="left" w:pos="4176"/>
                <w:tab w:val="left" w:pos="5904"/>
                <w:tab w:val="left" w:pos="6624"/>
                <w:tab w:val="left" w:pos="7056"/>
                <w:tab w:val="left" w:pos="10080"/>
              </w:tabs>
              <w:spacing w:line="240" w:lineRule="exact"/>
              <w:rPr>
                <w:b/>
                <w:sz w:val="22"/>
                <w:szCs w:val="22"/>
              </w:rPr>
            </w:pPr>
            <w:r w:rsidRPr="00113842">
              <w:rPr>
                <w:b/>
                <w:sz w:val="22"/>
                <w:szCs w:val="22"/>
              </w:rPr>
              <w:t xml:space="preserve">Response </w:t>
            </w:r>
            <w:r w:rsidR="00663FCE">
              <w:rPr>
                <w:b/>
                <w:sz w:val="22"/>
                <w:szCs w:val="22"/>
              </w:rPr>
              <w:t>to State’s Moti</w:t>
            </w:r>
            <w:r w:rsidR="00494765">
              <w:rPr>
                <w:b/>
                <w:sz w:val="22"/>
                <w:szCs w:val="22"/>
              </w:rPr>
              <w:t>o</w:t>
            </w:r>
            <w:r w:rsidRPr="00113842">
              <w:rPr>
                <w:b/>
                <w:sz w:val="22"/>
                <w:szCs w:val="22"/>
              </w:rPr>
              <w:t xml:space="preserve">n to </w:t>
            </w:r>
            <w:r w:rsidR="00494765">
              <w:rPr>
                <w:b/>
                <w:sz w:val="22"/>
                <w:szCs w:val="22"/>
              </w:rPr>
              <w:t>for Vaccination</w:t>
            </w:r>
          </w:p>
        </w:tc>
      </w:tr>
    </w:tbl>
    <w:p w14:paraId="72236F69" w14:textId="77777777" w:rsidR="00113842" w:rsidRPr="00113842" w:rsidRDefault="00113842" w:rsidP="00113842">
      <w:pPr>
        <w:tabs>
          <w:tab w:val="left" w:pos="450"/>
          <w:tab w:val="left" w:pos="10080"/>
        </w:tabs>
        <w:spacing w:line="240" w:lineRule="exact"/>
        <w:rPr>
          <w:sz w:val="16"/>
          <w:szCs w:val="16"/>
        </w:rPr>
      </w:pPr>
    </w:p>
    <w:p w14:paraId="7C549E94" w14:textId="55382BC1" w:rsidR="00663FCE" w:rsidRPr="00E54508" w:rsidRDefault="0028544D" w:rsidP="0028544D">
      <w:pPr>
        <w:pStyle w:val="PlainText"/>
        <w:spacing w:line="360" w:lineRule="auto"/>
        <w:ind w:left="3240" w:firstLine="360"/>
        <w:rPr>
          <w:rFonts w:ascii="Times New Roman" w:hAnsi="Times New Roman"/>
          <w:b/>
          <w:bCs/>
          <w:sz w:val="24"/>
          <w:szCs w:val="24"/>
          <w:u w:val="single"/>
          <w:lang w:val="en-US"/>
        </w:rPr>
      </w:pPr>
      <w:r w:rsidRPr="00E54508">
        <w:rPr>
          <w:rFonts w:ascii="Times New Roman" w:hAnsi="Times New Roman"/>
          <w:b/>
          <w:bCs/>
          <w:sz w:val="24"/>
          <w:szCs w:val="24"/>
          <w:u w:val="single"/>
          <w:lang w:val="en-US"/>
        </w:rPr>
        <w:t>My Body My Choice</w:t>
      </w:r>
    </w:p>
    <w:p w14:paraId="66F37968" w14:textId="77777777" w:rsidR="0028544D" w:rsidRPr="00663FCE" w:rsidRDefault="0028544D" w:rsidP="0028544D">
      <w:pPr>
        <w:pStyle w:val="PlainText"/>
        <w:spacing w:line="360" w:lineRule="auto"/>
        <w:rPr>
          <w:rFonts w:ascii="Times New Roman" w:hAnsi="Times New Roman"/>
          <w:sz w:val="24"/>
          <w:szCs w:val="24"/>
          <w:lang w:val="en-US"/>
        </w:rPr>
      </w:pPr>
    </w:p>
    <w:p w14:paraId="3102681A" w14:textId="24A6B906" w:rsidR="0028544D" w:rsidRDefault="00F13B7A" w:rsidP="00494765">
      <w:pPr>
        <w:pStyle w:val="PlainText"/>
        <w:spacing w:line="480" w:lineRule="auto"/>
        <w:rPr>
          <w:rFonts w:ascii="Times New Roman" w:hAnsi="Times New Roman"/>
          <w:sz w:val="24"/>
          <w:szCs w:val="24"/>
          <w:lang w:val="en-US"/>
        </w:rPr>
      </w:pPr>
      <w:r w:rsidRPr="00F13B7A">
        <w:rPr>
          <w:rFonts w:ascii="Times New Roman" w:hAnsi="Times New Roman"/>
          <w:sz w:val="24"/>
          <w:szCs w:val="24"/>
        </w:rPr>
        <w:tab/>
      </w:r>
      <w:r w:rsidR="0028544D">
        <w:rPr>
          <w:rFonts w:ascii="Times New Roman" w:hAnsi="Times New Roman"/>
          <w:sz w:val="24"/>
          <w:szCs w:val="24"/>
          <w:lang w:val="en-US"/>
        </w:rPr>
        <w:t xml:space="preserve">When asked why she does not want to be vaccinated, </w:t>
      </w:r>
      <w:r w:rsidR="000044E8">
        <w:rPr>
          <w:rFonts w:ascii="Times New Roman" w:hAnsi="Times New Roman"/>
          <w:sz w:val="24"/>
          <w:szCs w:val="24"/>
          <w:lang w:val="en-US"/>
        </w:rPr>
        <w:t>Jane</w:t>
      </w:r>
      <w:r w:rsidR="0028544D">
        <w:rPr>
          <w:rFonts w:ascii="Times New Roman" w:hAnsi="Times New Roman"/>
          <w:sz w:val="24"/>
          <w:szCs w:val="24"/>
          <w:lang w:val="en-US"/>
        </w:rPr>
        <w:t xml:space="preserve"> simply responds, “my body, my choice.   The idea that somebody would force her to have an injection over her agreement is offensive to her core.  </w:t>
      </w:r>
    </w:p>
    <w:p w14:paraId="4A0F9EEF" w14:textId="54510CD7" w:rsidR="0028544D" w:rsidRDefault="0028544D" w:rsidP="003E246B">
      <w:pPr>
        <w:pStyle w:val="PlainText"/>
        <w:rPr>
          <w:rFonts w:ascii="Times New Roman" w:hAnsi="Times New Roman"/>
          <w:sz w:val="24"/>
          <w:szCs w:val="24"/>
          <w:lang w:val="en-US"/>
        </w:rPr>
      </w:pPr>
    </w:p>
    <w:p w14:paraId="44668206" w14:textId="3E2D8773" w:rsidR="0028544D" w:rsidRDefault="0028544D" w:rsidP="003E246B">
      <w:pPr>
        <w:pStyle w:val="PlainText"/>
        <w:rPr>
          <w:rFonts w:ascii="Times New Roman" w:hAnsi="Times New Roman"/>
          <w:sz w:val="24"/>
          <w:szCs w:val="24"/>
          <w:lang w:val="en-US"/>
        </w:rPr>
      </w:pPr>
      <w:r>
        <w:rPr>
          <w:rFonts w:ascii="Times New Roman" w:hAnsi="Times New Roman"/>
          <w:sz w:val="24"/>
          <w:szCs w:val="24"/>
          <w:lang w:val="en-US"/>
        </w:rPr>
        <w:tab/>
        <w:t xml:space="preserve">The State should be held to the same standard </w:t>
      </w:r>
      <w:r w:rsidR="00A41A49">
        <w:rPr>
          <w:rFonts w:ascii="Times New Roman" w:hAnsi="Times New Roman"/>
          <w:sz w:val="24"/>
          <w:szCs w:val="24"/>
          <w:lang w:val="en-US"/>
        </w:rPr>
        <w:t>as</w:t>
      </w:r>
      <w:r w:rsidR="00995858">
        <w:rPr>
          <w:rFonts w:ascii="Times New Roman" w:hAnsi="Times New Roman"/>
          <w:sz w:val="24"/>
          <w:szCs w:val="24"/>
          <w:lang w:val="en-US"/>
        </w:rPr>
        <w:t xml:space="preserve"> Sell v. United States.</w:t>
      </w:r>
    </w:p>
    <w:p w14:paraId="73B20A96" w14:textId="104D0518" w:rsidR="00494765" w:rsidRDefault="00494765" w:rsidP="003E246B">
      <w:pPr>
        <w:pStyle w:val="PlainText"/>
        <w:rPr>
          <w:rFonts w:ascii="Times New Roman" w:hAnsi="Times New Roman"/>
          <w:sz w:val="24"/>
          <w:szCs w:val="24"/>
          <w:lang w:val="en-US"/>
        </w:rPr>
      </w:pPr>
    </w:p>
    <w:p w14:paraId="75C93312" w14:textId="42B93313" w:rsidR="00494765" w:rsidRDefault="00494765" w:rsidP="003E246B">
      <w:pPr>
        <w:pStyle w:val="PlainText"/>
        <w:rPr>
          <w:rFonts w:ascii="Times New Roman" w:hAnsi="Times New Roman"/>
          <w:sz w:val="24"/>
          <w:szCs w:val="24"/>
          <w:lang w:val="en-US"/>
        </w:rPr>
      </w:pPr>
    </w:p>
    <w:p w14:paraId="55E92B5B" w14:textId="54CDDF88" w:rsidR="00494765" w:rsidRPr="0028544D" w:rsidRDefault="00494765" w:rsidP="003E246B">
      <w:pPr>
        <w:pStyle w:val="PlainText"/>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____________________________</w:t>
      </w:r>
    </w:p>
    <w:p w14:paraId="3D1597CD" w14:textId="4217FCE6" w:rsidR="00F13B7A" w:rsidRDefault="00F13B7A" w:rsidP="00142D85">
      <w:pPr>
        <w:rPr>
          <w:szCs w:val="24"/>
        </w:rPr>
      </w:pPr>
      <w:r w:rsidRPr="00F13B7A">
        <w:rPr>
          <w:szCs w:val="24"/>
        </w:rPr>
        <w:tab/>
      </w:r>
      <w:r w:rsidRPr="00F13B7A">
        <w:rPr>
          <w:szCs w:val="24"/>
        </w:rPr>
        <w:tab/>
      </w:r>
      <w:r w:rsidRPr="00F13B7A">
        <w:rPr>
          <w:szCs w:val="24"/>
        </w:rPr>
        <w:tab/>
      </w:r>
      <w:r w:rsidRPr="00F13B7A">
        <w:rPr>
          <w:szCs w:val="24"/>
        </w:rPr>
        <w:tab/>
      </w:r>
      <w:r w:rsidRPr="00F13B7A">
        <w:rPr>
          <w:szCs w:val="24"/>
        </w:rPr>
        <w:tab/>
      </w:r>
      <w:r w:rsidRPr="00F13B7A">
        <w:rPr>
          <w:szCs w:val="24"/>
        </w:rPr>
        <w:tab/>
        <w:t xml:space="preserve"> WSBA # </w:t>
      </w:r>
    </w:p>
    <w:p w14:paraId="5D832491" w14:textId="0B1EBA34" w:rsidR="00E54508" w:rsidRDefault="00E54508" w:rsidP="00142D85">
      <w:pPr>
        <w:rPr>
          <w:szCs w:val="24"/>
        </w:rPr>
      </w:pPr>
    </w:p>
    <w:p w14:paraId="20939609" w14:textId="5E4F0A6E" w:rsidR="00E54508" w:rsidRPr="00E54508" w:rsidRDefault="00E54508" w:rsidP="00142D85">
      <w:pPr>
        <w:rPr>
          <w:b/>
          <w:bCs/>
          <w:szCs w:val="24"/>
          <w:u w:val="single"/>
        </w:rPr>
      </w:pPr>
      <w:r>
        <w:rPr>
          <w:szCs w:val="24"/>
        </w:rPr>
        <w:tab/>
      </w:r>
      <w:r>
        <w:rPr>
          <w:szCs w:val="24"/>
        </w:rPr>
        <w:tab/>
      </w:r>
      <w:r>
        <w:rPr>
          <w:szCs w:val="24"/>
        </w:rPr>
        <w:tab/>
      </w:r>
      <w:r>
        <w:rPr>
          <w:szCs w:val="24"/>
        </w:rPr>
        <w:tab/>
      </w:r>
      <w:r>
        <w:rPr>
          <w:szCs w:val="24"/>
        </w:rPr>
        <w:tab/>
      </w:r>
      <w:r w:rsidRPr="00E54508">
        <w:rPr>
          <w:b/>
          <w:bCs/>
          <w:szCs w:val="24"/>
          <w:u w:val="single"/>
        </w:rPr>
        <w:t>Legal Argument</w:t>
      </w:r>
    </w:p>
    <w:p w14:paraId="6B48AE26" w14:textId="532324F3" w:rsidR="00F95F09" w:rsidRDefault="00E54508" w:rsidP="00E54508">
      <w:pPr>
        <w:ind w:firstLine="720"/>
        <w:rPr>
          <w:szCs w:val="24"/>
        </w:rPr>
      </w:pPr>
      <w:r>
        <w:rPr>
          <w:szCs w:val="24"/>
        </w:rPr>
        <w:t xml:space="preserve">At a minimum the State should </w:t>
      </w:r>
      <w:r w:rsidR="00F7775C">
        <w:rPr>
          <w:szCs w:val="24"/>
        </w:rPr>
        <w:t>have</w:t>
      </w:r>
      <w:r>
        <w:rPr>
          <w:szCs w:val="24"/>
        </w:rPr>
        <w:t xml:space="preserve"> to show a government interest in forcing </w:t>
      </w:r>
      <w:r w:rsidR="000044E8">
        <w:rPr>
          <w:szCs w:val="24"/>
        </w:rPr>
        <w:t>Jane</w:t>
      </w:r>
      <w:r>
        <w:rPr>
          <w:szCs w:val="24"/>
        </w:rPr>
        <w:t xml:space="preserve"> to be medicated, conclude the side </w:t>
      </w:r>
      <w:r w:rsidR="00F95F09">
        <w:rPr>
          <w:szCs w:val="24"/>
        </w:rPr>
        <w:t xml:space="preserve">effects </w:t>
      </w:r>
      <w:r>
        <w:rPr>
          <w:szCs w:val="24"/>
        </w:rPr>
        <w:t xml:space="preserve">of a shot to </w:t>
      </w:r>
      <w:r w:rsidR="000044E8">
        <w:rPr>
          <w:szCs w:val="24"/>
        </w:rPr>
        <w:t>Jane</w:t>
      </w:r>
      <w:r>
        <w:rPr>
          <w:szCs w:val="24"/>
        </w:rPr>
        <w:t xml:space="preserve"> will further the State’s interest, </w:t>
      </w:r>
      <w:r w:rsidR="00474888">
        <w:rPr>
          <w:szCs w:val="24"/>
        </w:rPr>
        <w:lastRenderedPageBreak/>
        <w:t xml:space="preserve">conclude the medication is </w:t>
      </w:r>
      <w:r w:rsidR="00474888" w:rsidRPr="00474888">
        <w:rPr>
          <w:i/>
          <w:iCs/>
          <w:szCs w:val="24"/>
        </w:rPr>
        <w:t>necessary</w:t>
      </w:r>
      <w:r w:rsidR="00474888">
        <w:rPr>
          <w:szCs w:val="24"/>
        </w:rPr>
        <w:t xml:space="preserve"> to further the State’s interest, and finally that the administration of this drug into </w:t>
      </w:r>
      <w:r w:rsidR="000044E8">
        <w:rPr>
          <w:szCs w:val="24"/>
        </w:rPr>
        <w:t>Jane</w:t>
      </w:r>
      <w:r w:rsidR="00474888">
        <w:rPr>
          <w:szCs w:val="24"/>
        </w:rPr>
        <w:t xml:space="preserve"> small body is medically appropriate.  </w:t>
      </w:r>
    </w:p>
    <w:p w14:paraId="45CA5393" w14:textId="3C42CCDA" w:rsidR="00E54508" w:rsidRDefault="00474888" w:rsidP="00E54508">
      <w:pPr>
        <w:ind w:firstLine="720"/>
        <w:rPr>
          <w:szCs w:val="24"/>
        </w:rPr>
      </w:pPr>
      <w:r>
        <w:rPr>
          <w:szCs w:val="24"/>
        </w:rPr>
        <w:t xml:space="preserve">At a minimum, </w:t>
      </w:r>
      <w:r w:rsidR="000044E8">
        <w:rPr>
          <w:szCs w:val="24"/>
        </w:rPr>
        <w:t>Jane</w:t>
      </w:r>
      <w:r>
        <w:rPr>
          <w:szCs w:val="24"/>
        </w:rPr>
        <w:t xml:space="preserve"> is due the same rights as a criminal defendant facing a Sell hearing and so I will lay out the arguments made by defense counsel in criminal cases.  One could argue however, that since </w:t>
      </w:r>
      <w:r w:rsidR="000044E8">
        <w:rPr>
          <w:szCs w:val="24"/>
        </w:rPr>
        <w:t>Jane</w:t>
      </w:r>
      <w:r>
        <w:rPr>
          <w:szCs w:val="24"/>
        </w:rPr>
        <w:t xml:space="preserve"> has never even been accused of a crime</w:t>
      </w:r>
      <w:r w:rsidR="00F63AF8">
        <w:rPr>
          <w:szCs w:val="24"/>
        </w:rPr>
        <w:t xml:space="preserve"> much less convicted</w:t>
      </w:r>
      <w:r>
        <w:rPr>
          <w:szCs w:val="24"/>
        </w:rPr>
        <w:t>, the State’s interest is far less than it would be in a criminal proceeding and so the standard should be higher</w:t>
      </w:r>
      <w:r w:rsidR="00F95F09">
        <w:rPr>
          <w:szCs w:val="24"/>
        </w:rPr>
        <w:t xml:space="preserve"> for the state</w:t>
      </w:r>
      <w:r w:rsidR="00F63AF8">
        <w:rPr>
          <w:szCs w:val="24"/>
        </w:rPr>
        <w:t xml:space="preserve"> in this case.</w:t>
      </w:r>
    </w:p>
    <w:p w14:paraId="563127E7" w14:textId="4EC5EBF8" w:rsidR="00474888" w:rsidRPr="00474888" w:rsidRDefault="00474888" w:rsidP="00474888">
      <w:pPr>
        <w:rPr>
          <w:i/>
          <w:iCs/>
          <w:szCs w:val="24"/>
          <w:u w:val="single"/>
        </w:rPr>
      </w:pPr>
      <w:r w:rsidRPr="00474888">
        <w:rPr>
          <w:i/>
          <w:iCs/>
          <w:szCs w:val="24"/>
          <w:u w:val="single"/>
        </w:rPr>
        <w:t>A Sell Hearing</w:t>
      </w:r>
    </w:p>
    <w:p w14:paraId="279C8857" w14:textId="4CFAD522" w:rsidR="00E54508" w:rsidRPr="000915ED" w:rsidRDefault="00DA7645" w:rsidP="00E54508">
      <w:pPr>
        <w:ind w:firstLine="720"/>
        <w:rPr>
          <w:sz w:val="22"/>
          <w:szCs w:val="22"/>
        </w:rPr>
      </w:pPr>
      <w:r>
        <w:rPr>
          <w:sz w:val="22"/>
          <w:szCs w:val="22"/>
        </w:rPr>
        <w:t>The</w:t>
      </w:r>
      <w:r w:rsidR="00E54508" w:rsidRPr="000915ED">
        <w:rPr>
          <w:sz w:val="22"/>
          <w:szCs w:val="22"/>
        </w:rPr>
        <w:t xml:space="preserve"> United States Supreme Court has held that the federal Constitution permits the Government to administer psychotropic drugs involuntarily to a mentally ill criminal defendant in limited circumstances in order to render that defendant competent to stand trial.  </w:t>
      </w:r>
      <w:r w:rsidR="00E54508" w:rsidRPr="000915ED">
        <w:rPr>
          <w:i/>
          <w:sz w:val="22"/>
          <w:szCs w:val="22"/>
        </w:rPr>
        <w:t>Sell v. United States</w:t>
      </w:r>
      <w:r w:rsidR="00E54508" w:rsidRPr="000915ED">
        <w:rPr>
          <w:sz w:val="22"/>
          <w:szCs w:val="22"/>
        </w:rPr>
        <w:t xml:space="preserve">, 539 U.S. 166, </w:t>
      </w:r>
      <w:r w:rsidR="00E54508" w:rsidRPr="006D25BB">
        <w:rPr>
          <w:szCs w:val="24"/>
        </w:rPr>
        <w:t>156 L.Ed.2d 197</w:t>
      </w:r>
      <w:r w:rsidR="00E54508" w:rsidRPr="000915ED">
        <w:rPr>
          <w:sz w:val="22"/>
          <w:szCs w:val="22"/>
        </w:rPr>
        <w:t xml:space="preserve">, 123 </w:t>
      </w:r>
      <w:proofErr w:type="spellStart"/>
      <w:r w:rsidR="00E54508" w:rsidRPr="000915ED">
        <w:rPr>
          <w:sz w:val="22"/>
          <w:szCs w:val="22"/>
        </w:rPr>
        <w:t>S.Ct</w:t>
      </w:r>
      <w:proofErr w:type="spellEnd"/>
      <w:r w:rsidR="00E54508" w:rsidRPr="000915ED">
        <w:rPr>
          <w:sz w:val="22"/>
          <w:szCs w:val="22"/>
        </w:rPr>
        <w:t xml:space="preserve">. 2174 (2003), relying on </w:t>
      </w:r>
      <w:r w:rsidR="00E54508" w:rsidRPr="000915ED">
        <w:rPr>
          <w:i/>
          <w:sz w:val="22"/>
          <w:szCs w:val="22"/>
        </w:rPr>
        <w:t>Washington v. Harper</w:t>
      </w:r>
      <w:r w:rsidR="00E54508" w:rsidRPr="000915ED">
        <w:rPr>
          <w:sz w:val="22"/>
          <w:szCs w:val="22"/>
        </w:rPr>
        <w:t xml:space="preserve">, 494 U. S. 210, 221-222, 108 L.Ed.2d 178, 110 S.Ct.1028 (1990), and </w:t>
      </w:r>
      <w:r w:rsidR="00E54508" w:rsidRPr="000915ED">
        <w:rPr>
          <w:i/>
          <w:sz w:val="22"/>
          <w:szCs w:val="22"/>
        </w:rPr>
        <w:t>Riggins v. Nevada, supra.</w:t>
      </w:r>
      <w:r w:rsidR="00E54508" w:rsidRPr="000915ED">
        <w:rPr>
          <w:sz w:val="22"/>
          <w:szCs w:val="22"/>
        </w:rPr>
        <w:t xml:space="preserve">  Because of the constitutional rights and the serious side effects of psychotropic medications, the </w:t>
      </w:r>
      <w:r w:rsidR="00E54508" w:rsidRPr="000915ED">
        <w:rPr>
          <w:i/>
          <w:sz w:val="22"/>
          <w:szCs w:val="22"/>
        </w:rPr>
        <w:t>Sell</w:t>
      </w:r>
      <w:r w:rsidR="00E54508" w:rsidRPr="000915ED">
        <w:rPr>
          <w:sz w:val="22"/>
          <w:szCs w:val="22"/>
        </w:rPr>
        <w:t xml:space="preserve"> Court set up the following balancing test to provide trial courts some guidance in determining whether a defendant can be forced to take medications: </w:t>
      </w:r>
    </w:p>
    <w:p w14:paraId="3B273B8F" w14:textId="232B7752" w:rsidR="00E54508" w:rsidRPr="000915ED" w:rsidRDefault="00E54508" w:rsidP="00E54508">
      <w:pPr>
        <w:ind w:firstLine="533"/>
        <w:rPr>
          <w:sz w:val="22"/>
          <w:szCs w:val="22"/>
        </w:rPr>
      </w:pPr>
      <w:r w:rsidRPr="000915ED">
        <w:rPr>
          <w:sz w:val="22"/>
          <w:szCs w:val="22"/>
        </w:rPr>
        <w:t xml:space="preserve">First, the court must find that important governmental interests are at stake.  The State’s interest in bringing to trial an individual accused of a serious crime is important.  </w:t>
      </w:r>
      <w:r w:rsidRPr="000915ED">
        <w:rPr>
          <w:i/>
          <w:sz w:val="22"/>
          <w:szCs w:val="22"/>
        </w:rPr>
        <w:t>Sell</w:t>
      </w:r>
      <w:r w:rsidRPr="000915ED">
        <w:rPr>
          <w:sz w:val="22"/>
          <w:szCs w:val="22"/>
        </w:rPr>
        <w:t xml:space="preserve">, 539 U.S. at 180; </w:t>
      </w:r>
      <w:r w:rsidRPr="000915ED">
        <w:rPr>
          <w:i/>
          <w:sz w:val="22"/>
          <w:szCs w:val="22"/>
        </w:rPr>
        <w:t>Born v. Thompson</w:t>
      </w:r>
      <w:r w:rsidRPr="000915ED">
        <w:rPr>
          <w:sz w:val="22"/>
          <w:szCs w:val="22"/>
        </w:rPr>
        <w:t>, 154 Wn.2d 749, 768-79, 117 P.3d 1098 (2005).</w:t>
      </w:r>
      <w:r w:rsidR="00F95F09">
        <w:rPr>
          <w:sz w:val="22"/>
          <w:szCs w:val="22"/>
        </w:rPr>
        <w:t xml:space="preserve"> Here, </w:t>
      </w:r>
      <w:r w:rsidR="000044E8">
        <w:rPr>
          <w:sz w:val="22"/>
          <w:szCs w:val="22"/>
        </w:rPr>
        <w:t>Jane</w:t>
      </w:r>
      <w:r w:rsidR="00F95F09">
        <w:rPr>
          <w:sz w:val="22"/>
          <w:szCs w:val="22"/>
        </w:rPr>
        <w:t xml:space="preserve"> faces no </w:t>
      </w:r>
      <w:proofErr w:type="gramStart"/>
      <w:r w:rsidR="00F95F09">
        <w:rPr>
          <w:sz w:val="22"/>
          <w:szCs w:val="22"/>
        </w:rPr>
        <w:t>crime</w:t>
      </w:r>
      <w:proofErr w:type="gramEnd"/>
      <w:r w:rsidR="004E454C">
        <w:rPr>
          <w:sz w:val="22"/>
          <w:szCs w:val="22"/>
        </w:rPr>
        <w:t xml:space="preserve"> and the State has provided no “interest.”</w:t>
      </w:r>
    </w:p>
    <w:p w14:paraId="6B24C180" w14:textId="639FFC65" w:rsidR="00E54508" w:rsidRPr="000915ED" w:rsidRDefault="00E54508" w:rsidP="00E54508">
      <w:pPr>
        <w:ind w:firstLine="720"/>
        <w:rPr>
          <w:sz w:val="22"/>
          <w:szCs w:val="22"/>
        </w:rPr>
      </w:pPr>
      <w:r w:rsidRPr="000915ED">
        <w:rPr>
          <w:sz w:val="22"/>
          <w:szCs w:val="22"/>
        </w:rPr>
        <w:t xml:space="preserve">Second, the court must conclude that involuntary medication will significantly further those state interests.  It must find that administration of the drug is substantially likely to render the defendant competent to stand trial.  At the same time, it must find that administration of the drugs is substantially </w:t>
      </w:r>
      <w:r w:rsidRPr="000915ED">
        <w:rPr>
          <w:sz w:val="22"/>
          <w:szCs w:val="22"/>
        </w:rPr>
        <w:lastRenderedPageBreak/>
        <w:t xml:space="preserve">unlikely to have side effects that will interfere significantly with the defendant's ability to assist counsel in conducting a trial defense, thereby rendering the trial unfair.  </w:t>
      </w:r>
      <w:r w:rsidRPr="000915ED">
        <w:rPr>
          <w:i/>
          <w:sz w:val="22"/>
          <w:szCs w:val="22"/>
        </w:rPr>
        <w:t>Sell</w:t>
      </w:r>
      <w:r w:rsidRPr="000915ED">
        <w:rPr>
          <w:sz w:val="22"/>
          <w:szCs w:val="22"/>
        </w:rPr>
        <w:t xml:space="preserve">, 539 U.S. at 181. </w:t>
      </w:r>
      <w:r w:rsidR="00F95F09">
        <w:rPr>
          <w:sz w:val="22"/>
          <w:szCs w:val="22"/>
        </w:rPr>
        <w:t xml:space="preserve"> </w:t>
      </w:r>
      <w:proofErr w:type="spellStart"/>
      <w:r w:rsidR="004E454C">
        <w:rPr>
          <w:sz w:val="22"/>
          <w:szCs w:val="22"/>
        </w:rPr>
        <w:t>Agin</w:t>
      </w:r>
      <w:proofErr w:type="spellEnd"/>
      <w:r w:rsidR="004E454C">
        <w:rPr>
          <w:sz w:val="22"/>
          <w:szCs w:val="22"/>
        </w:rPr>
        <w:t>, here, t</w:t>
      </w:r>
      <w:r w:rsidR="00F95F09">
        <w:rPr>
          <w:sz w:val="22"/>
          <w:szCs w:val="22"/>
        </w:rPr>
        <w:t>he State has provided no such information.</w:t>
      </w:r>
    </w:p>
    <w:p w14:paraId="7C20428F" w14:textId="1B672097" w:rsidR="00E54508" w:rsidRPr="000915ED" w:rsidRDefault="00E54508" w:rsidP="00E54508">
      <w:pPr>
        <w:ind w:firstLine="720"/>
        <w:rPr>
          <w:sz w:val="22"/>
          <w:szCs w:val="22"/>
        </w:rPr>
      </w:pPr>
      <w:r w:rsidRPr="000915ED">
        <w:rPr>
          <w:sz w:val="22"/>
          <w:szCs w:val="22"/>
        </w:rPr>
        <w:t xml:space="preserve">Third, the court must conclude that involuntary medication is necessary to further those interests.  The court must find that any alternative, less intrusive treatments are unlikely to achieve substantially the same results.  </w:t>
      </w:r>
      <w:r w:rsidRPr="000915ED">
        <w:rPr>
          <w:i/>
          <w:sz w:val="22"/>
          <w:szCs w:val="22"/>
        </w:rPr>
        <w:t>Sell</w:t>
      </w:r>
      <w:r w:rsidRPr="000915ED">
        <w:rPr>
          <w:sz w:val="22"/>
          <w:szCs w:val="22"/>
        </w:rPr>
        <w:t xml:space="preserve">, 539 U.S. at 181.  </w:t>
      </w:r>
      <w:r w:rsidR="004E454C">
        <w:rPr>
          <w:sz w:val="22"/>
          <w:szCs w:val="22"/>
        </w:rPr>
        <w:t>Yet once again</w:t>
      </w:r>
      <w:r w:rsidR="00F95F09">
        <w:rPr>
          <w:sz w:val="22"/>
          <w:szCs w:val="22"/>
        </w:rPr>
        <w:t>, the State has provided no such information.</w:t>
      </w:r>
    </w:p>
    <w:p w14:paraId="7CA659E9" w14:textId="79CC9E3A" w:rsidR="00E54508" w:rsidRPr="000915ED" w:rsidRDefault="00E54508" w:rsidP="00E54508">
      <w:pPr>
        <w:ind w:firstLine="720"/>
        <w:rPr>
          <w:sz w:val="22"/>
          <w:szCs w:val="22"/>
        </w:rPr>
      </w:pPr>
      <w:r w:rsidRPr="000915ED">
        <w:rPr>
          <w:sz w:val="22"/>
          <w:szCs w:val="22"/>
        </w:rPr>
        <w:t xml:space="preserve">Fourth, the court must conclude that administration of the drugs is medically appropriate, </w:t>
      </w:r>
      <w:r w:rsidRPr="000915ED">
        <w:rPr>
          <w:i/>
          <w:sz w:val="22"/>
          <w:szCs w:val="22"/>
        </w:rPr>
        <w:t>i.e.</w:t>
      </w:r>
      <w:r w:rsidRPr="000915ED">
        <w:rPr>
          <w:sz w:val="22"/>
          <w:szCs w:val="22"/>
        </w:rPr>
        <w:t xml:space="preserve">, in the patient’s best medical interest in light of his medical condition.  The specific kinds of drugs at issue may matter here as elsewhere.  Different kinds of psychotropic drugs may produce different side effects and enjoy different levels of success.  </w:t>
      </w:r>
      <w:r w:rsidRPr="000915ED">
        <w:rPr>
          <w:i/>
          <w:sz w:val="22"/>
          <w:szCs w:val="22"/>
        </w:rPr>
        <w:t>Sell</w:t>
      </w:r>
      <w:r w:rsidRPr="000915ED">
        <w:rPr>
          <w:sz w:val="22"/>
          <w:szCs w:val="22"/>
        </w:rPr>
        <w:t>, 539 U.S. at 181-82.</w:t>
      </w:r>
      <w:r w:rsidR="00F95F09">
        <w:rPr>
          <w:sz w:val="22"/>
          <w:szCs w:val="22"/>
        </w:rPr>
        <w:t xml:space="preserve">  Once again, the State has provided no such information.</w:t>
      </w:r>
    </w:p>
    <w:p w14:paraId="14D44A7D" w14:textId="77777777" w:rsidR="00E54508" w:rsidRPr="000915ED" w:rsidRDefault="00E54508" w:rsidP="00E54508">
      <w:pPr>
        <w:ind w:firstLine="720"/>
        <w:rPr>
          <w:sz w:val="22"/>
          <w:szCs w:val="22"/>
        </w:rPr>
      </w:pPr>
      <w:r w:rsidRPr="000915ED">
        <w:rPr>
          <w:sz w:val="22"/>
          <w:szCs w:val="22"/>
        </w:rPr>
        <w:t>The treatment of an accused with psychotropic medicine poses serious concerns for this Court, given t</w:t>
      </w:r>
      <w:r>
        <w:rPr>
          <w:sz w:val="22"/>
          <w:szCs w:val="22"/>
        </w:rPr>
        <w:t>he severe and often fatal side e</w:t>
      </w:r>
      <w:r w:rsidRPr="000915ED">
        <w:rPr>
          <w:sz w:val="22"/>
          <w:szCs w:val="22"/>
        </w:rPr>
        <w:t xml:space="preserve">ffects of antipsychotic drugs.  In </w:t>
      </w:r>
      <w:r w:rsidRPr="000915ED">
        <w:rPr>
          <w:i/>
          <w:sz w:val="22"/>
          <w:szCs w:val="22"/>
        </w:rPr>
        <w:t>Harper v. State, supra</w:t>
      </w:r>
      <w:r w:rsidRPr="000915ED">
        <w:rPr>
          <w:sz w:val="22"/>
          <w:szCs w:val="22"/>
        </w:rPr>
        <w:t>, the Washington Supreme Court recognized the severe, and often fatal, side effects of antipsychoti</w:t>
      </w:r>
      <w:r>
        <w:rPr>
          <w:sz w:val="22"/>
          <w:szCs w:val="22"/>
        </w:rPr>
        <w:t>c drugs</w:t>
      </w:r>
      <w:r w:rsidRPr="000915ED">
        <w:rPr>
          <w:sz w:val="22"/>
          <w:szCs w:val="22"/>
        </w:rPr>
        <w:t>.  110 Wn.2d at 876, n. 3.  The Court noted:</w:t>
      </w:r>
    </w:p>
    <w:p w14:paraId="2F3A6737" w14:textId="77777777" w:rsidR="00E54508" w:rsidRPr="000915ED" w:rsidRDefault="00E54508" w:rsidP="00E54508">
      <w:pPr>
        <w:spacing w:line="240" w:lineRule="auto"/>
        <w:ind w:left="720" w:right="720"/>
        <w:jc w:val="both"/>
        <w:rPr>
          <w:sz w:val="22"/>
          <w:szCs w:val="22"/>
        </w:rPr>
      </w:pPr>
      <w:r w:rsidRPr="000915ED">
        <w:rPr>
          <w:sz w:val="22"/>
          <w:szCs w:val="22"/>
        </w:rPr>
        <w:t xml:space="preserve">[A]ntipsychotic drug therapy is a highly intrusive form of medical treatment.  </w:t>
      </w:r>
      <w:r w:rsidRPr="000915ED">
        <w:rPr>
          <w:i/>
          <w:sz w:val="22"/>
          <w:szCs w:val="22"/>
        </w:rPr>
        <w:t>See Guardianship of Roe</w:t>
      </w:r>
      <w:r w:rsidRPr="000915ED">
        <w:rPr>
          <w:sz w:val="22"/>
          <w:szCs w:val="22"/>
        </w:rPr>
        <w:t xml:space="preserve">, 383 Mass. 415, 436 37, 421 N.E.2d 40 (1981).  Antipsychotic drugs are by intention mind altering; they are meant to act upon the thought processes.  . . .  The benefits of antipsychotic drug treatment to acutely ill patients are well documented.  </w:t>
      </w:r>
      <w:r w:rsidRPr="000915ED">
        <w:rPr>
          <w:i/>
          <w:sz w:val="22"/>
          <w:szCs w:val="22"/>
        </w:rPr>
        <w:t>See</w:t>
      </w:r>
      <w:r w:rsidRPr="000915ED">
        <w:rPr>
          <w:sz w:val="22"/>
          <w:szCs w:val="22"/>
        </w:rPr>
        <w:t xml:space="preserve"> </w:t>
      </w:r>
      <w:r w:rsidRPr="000915ED">
        <w:rPr>
          <w:sz w:val="22"/>
          <w:szCs w:val="22"/>
          <w:u w:val="single"/>
        </w:rPr>
        <w:t>The Pharmacological Basis of Therapeutics</w:t>
      </w:r>
      <w:r w:rsidRPr="000915ED">
        <w:rPr>
          <w:sz w:val="22"/>
          <w:szCs w:val="22"/>
        </w:rPr>
        <w:t xml:space="preserve"> 152, 172 74 (A. Gilman, L. Goodman, A. Gilman 6th ed. 1980) (Goodman &amp; Gilman's).  Also documented, however, are the adverse side effects of antipsychotic drug treatment.  Less serious, reversible side effects include dystonia, a severe involuntary spasm of the upper body, throat, tongue or eyes; akathesia, the inability to remain still, restlessness and agitation; and pseudo-Parkinsonism, manifested by a mask like face, drooling, muscle rigidity, stiffness, tremors and a shuffling gait.  . . .  Although common, these effects can be controlled by administration of other drugs, adjustment of the dosage, or termination of the therapy.  . . .  Severe and potentially permanent is tardive dyskinesia, an irreversible neurological disorder characterized by involuntary, uncontrollable movements of the </w:t>
      </w:r>
      <w:r w:rsidRPr="000915ED">
        <w:rPr>
          <w:sz w:val="22"/>
          <w:szCs w:val="22"/>
        </w:rPr>
        <w:lastRenderedPageBreak/>
        <w:t xml:space="preserve">tongue, mouth or jaw.  Fingers, arms and legs may also be affected.  Tardive dyskinesia can be masked by the drug causing the </w:t>
      </w:r>
      <w:proofErr w:type="gramStart"/>
      <w:r w:rsidRPr="000915ED">
        <w:rPr>
          <w:sz w:val="22"/>
          <w:szCs w:val="22"/>
        </w:rPr>
        <w:t>condition, and</w:t>
      </w:r>
      <w:proofErr w:type="gramEnd"/>
      <w:r w:rsidRPr="000915ED">
        <w:rPr>
          <w:sz w:val="22"/>
          <w:szCs w:val="22"/>
        </w:rPr>
        <w:t xml:space="preserve"> can manifest itself years after treatment has occurred.  . . .  Therefore, we recognize a fundamental liberty interest in refusing antipsychotic drug treatment[.]</w:t>
      </w:r>
    </w:p>
    <w:p w14:paraId="6E967F98" w14:textId="77777777" w:rsidR="00E54508" w:rsidRPr="000915ED" w:rsidRDefault="00E54508" w:rsidP="00E54508">
      <w:pPr>
        <w:ind w:left="187" w:firstLine="533"/>
        <w:rPr>
          <w:sz w:val="22"/>
          <w:szCs w:val="22"/>
        </w:rPr>
      </w:pPr>
    </w:p>
    <w:p w14:paraId="1EA9E986" w14:textId="5446D60E" w:rsidR="00E54508" w:rsidRPr="000915ED" w:rsidRDefault="00E54508" w:rsidP="00E54508">
      <w:pPr>
        <w:rPr>
          <w:sz w:val="22"/>
          <w:szCs w:val="22"/>
        </w:rPr>
      </w:pPr>
      <w:r w:rsidRPr="000915ED">
        <w:rPr>
          <w:i/>
          <w:sz w:val="22"/>
          <w:szCs w:val="22"/>
        </w:rPr>
        <w:t>Harper</w:t>
      </w:r>
      <w:r w:rsidRPr="000915ED">
        <w:rPr>
          <w:sz w:val="22"/>
          <w:szCs w:val="22"/>
        </w:rPr>
        <w:t>, 110 Wn.2d at 877-78 (citations and footnote omitted).</w:t>
      </w:r>
      <w:r>
        <w:rPr>
          <w:sz w:val="22"/>
          <w:szCs w:val="22"/>
        </w:rPr>
        <w:t xml:space="preserve"> </w:t>
      </w:r>
      <w:r w:rsidRPr="00B308C9">
        <w:rPr>
          <w:color w:val="000000" w:themeColor="text1"/>
          <w:sz w:val="22"/>
          <w:szCs w:val="22"/>
        </w:rPr>
        <w:t xml:space="preserve">Orders based on </w:t>
      </w:r>
      <w:r w:rsidRPr="00B308C9">
        <w:rPr>
          <w:i/>
          <w:iCs/>
          <w:color w:val="000000" w:themeColor="text1"/>
          <w:sz w:val="22"/>
          <w:szCs w:val="22"/>
        </w:rPr>
        <w:t>Sell</w:t>
      </w:r>
      <w:r w:rsidRPr="00B308C9">
        <w:rPr>
          <w:color w:val="000000" w:themeColor="text1"/>
          <w:sz w:val="22"/>
          <w:szCs w:val="22"/>
        </w:rPr>
        <w:t xml:space="preserve"> authorizing involuntary medication are “disfavored.” </w:t>
      </w:r>
      <w:hyperlink r:id="rId8" w:anchor="co_pp_sp_506_1137" w:history="1">
        <w:r w:rsidRPr="00B308C9">
          <w:rPr>
            <w:bCs/>
            <w:i/>
            <w:iCs/>
            <w:color w:val="000000" w:themeColor="text1"/>
            <w:sz w:val="22"/>
            <w:szCs w:val="22"/>
          </w:rPr>
          <w:t>United</w:t>
        </w:r>
        <w:r w:rsidRPr="00B308C9">
          <w:rPr>
            <w:i/>
            <w:iCs/>
            <w:color w:val="000000" w:themeColor="text1"/>
            <w:sz w:val="22"/>
            <w:szCs w:val="22"/>
          </w:rPr>
          <w:t xml:space="preserve"> </w:t>
        </w:r>
        <w:r w:rsidRPr="00B308C9">
          <w:rPr>
            <w:bCs/>
            <w:i/>
            <w:iCs/>
            <w:color w:val="000000" w:themeColor="text1"/>
            <w:sz w:val="22"/>
            <w:szCs w:val="22"/>
          </w:rPr>
          <w:t>States</w:t>
        </w:r>
        <w:r w:rsidRPr="00B308C9">
          <w:rPr>
            <w:i/>
            <w:iCs/>
            <w:color w:val="000000" w:themeColor="text1"/>
            <w:sz w:val="22"/>
            <w:szCs w:val="22"/>
          </w:rPr>
          <w:t xml:space="preserve"> v. Rivera– </w:t>
        </w:r>
        <w:r w:rsidRPr="00B308C9">
          <w:rPr>
            <w:rFonts w:ascii="Arial" w:hAnsi="Arial" w:cs="Arial"/>
            <w:i/>
            <w:iCs/>
            <w:color w:val="000000" w:themeColor="text1"/>
            <w:sz w:val="20"/>
          </w:rPr>
          <w:object w:dxaOrig="225" w:dyaOrig="225" w14:anchorId="47C6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9pt" o:ole="">
              <v:imagedata r:id="rId9" o:title=""/>
            </v:shape>
            <w:control r:id="rId10" w:name="DefaultOcxName" w:shapeid="_x0000_i1028"/>
          </w:object>
        </w:r>
        <w:r w:rsidRPr="00B308C9">
          <w:rPr>
            <w:i/>
            <w:iCs/>
            <w:color w:val="000000" w:themeColor="text1"/>
            <w:sz w:val="22"/>
            <w:szCs w:val="22"/>
          </w:rPr>
          <w:t>Guerrero,</w:t>
        </w:r>
        <w:r w:rsidRPr="00B308C9">
          <w:rPr>
            <w:color w:val="000000" w:themeColor="text1"/>
            <w:sz w:val="22"/>
            <w:szCs w:val="22"/>
          </w:rPr>
          <w:t xml:space="preserve"> 426 F.3d 1130, 1137 (9th Cir.2005)</w:t>
        </w:r>
      </w:hyperlink>
      <w:r>
        <w:rPr>
          <w:color w:val="212121"/>
          <w:sz w:val="21"/>
          <w:szCs w:val="21"/>
        </w:rPr>
        <w:t>.</w:t>
      </w:r>
    </w:p>
    <w:p w14:paraId="77708488" w14:textId="40494126" w:rsidR="00E54508" w:rsidRPr="000915ED" w:rsidRDefault="00E54508" w:rsidP="00E54508">
      <w:pPr>
        <w:tabs>
          <w:tab w:val="left" w:pos="720"/>
        </w:tabs>
        <w:rPr>
          <w:color w:val="424242"/>
          <w:sz w:val="22"/>
          <w:szCs w:val="22"/>
        </w:rPr>
      </w:pPr>
      <w:r w:rsidRPr="000915ED">
        <w:rPr>
          <w:sz w:val="22"/>
          <w:szCs w:val="22"/>
        </w:rPr>
        <w:tab/>
        <w:t>Finally, the 9</w:t>
      </w:r>
      <w:r w:rsidRPr="000915ED">
        <w:rPr>
          <w:sz w:val="22"/>
          <w:szCs w:val="22"/>
          <w:vertAlign w:val="superscript"/>
        </w:rPr>
        <w:t>th</w:t>
      </w:r>
      <w:r w:rsidRPr="000915ED">
        <w:rPr>
          <w:sz w:val="22"/>
          <w:szCs w:val="22"/>
        </w:rPr>
        <w:t xml:space="preserve"> Circuit made it very clear in </w:t>
      </w:r>
      <w:r w:rsidRPr="000915ED">
        <w:rPr>
          <w:i/>
          <w:sz w:val="22"/>
          <w:szCs w:val="22"/>
        </w:rPr>
        <w:t>United States v. Hernandez-Velasquez</w:t>
      </w:r>
      <w:r w:rsidRPr="000915ED">
        <w:rPr>
          <w:sz w:val="22"/>
          <w:szCs w:val="22"/>
        </w:rPr>
        <w:t xml:space="preserve"> that the Court is not to grant unfettered discretion to the prescribing and administering of medications, even in a </w:t>
      </w:r>
      <w:r w:rsidRPr="00014638">
        <w:rPr>
          <w:i/>
          <w:sz w:val="22"/>
          <w:szCs w:val="22"/>
        </w:rPr>
        <w:t>Sell</w:t>
      </w:r>
      <w:r w:rsidRPr="000915ED">
        <w:rPr>
          <w:sz w:val="22"/>
          <w:szCs w:val="22"/>
        </w:rPr>
        <w:t xml:space="preserve"> setting.  </w:t>
      </w:r>
      <w:r>
        <w:rPr>
          <w:sz w:val="22"/>
          <w:szCs w:val="22"/>
        </w:rPr>
        <w:t>Here, the d</w:t>
      </w:r>
      <w:r w:rsidRPr="000915ED">
        <w:rPr>
          <w:sz w:val="22"/>
          <w:szCs w:val="22"/>
        </w:rPr>
        <w:t>efense argue</w:t>
      </w:r>
      <w:r w:rsidR="004E454C">
        <w:rPr>
          <w:sz w:val="22"/>
          <w:szCs w:val="22"/>
        </w:rPr>
        <w:t>d</w:t>
      </w:r>
      <w:r w:rsidRPr="000915ED">
        <w:rPr>
          <w:sz w:val="22"/>
          <w:szCs w:val="22"/>
        </w:rPr>
        <w:t xml:space="preserve"> that this also requires the State to provide this information to </w:t>
      </w:r>
      <w:r>
        <w:rPr>
          <w:sz w:val="22"/>
          <w:szCs w:val="22"/>
        </w:rPr>
        <w:t xml:space="preserve">the defense </w:t>
      </w:r>
      <w:r w:rsidRPr="000915ED">
        <w:rPr>
          <w:sz w:val="22"/>
          <w:szCs w:val="22"/>
        </w:rPr>
        <w:t xml:space="preserve">prior to the hearing, so that they can properly challenge assertions from the State and their experts.  </w:t>
      </w:r>
    </w:p>
    <w:p w14:paraId="329940DB" w14:textId="77777777" w:rsidR="00E54508" w:rsidRPr="00BC2AC7" w:rsidRDefault="00E54508" w:rsidP="00E54508">
      <w:pPr>
        <w:spacing w:line="240" w:lineRule="auto"/>
        <w:ind w:left="720" w:right="720"/>
        <w:jc w:val="both"/>
        <w:rPr>
          <w:color w:val="000000"/>
          <w:sz w:val="22"/>
          <w:szCs w:val="22"/>
        </w:rPr>
      </w:pPr>
      <w:r w:rsidRPr="00BC2AC7">
        <w:rPr>
          <w:color w:val="000000"/>
          <w:sz w:val="22"/>
          <w:szCs w:val="22"/>
        </w:rPr>
        <w:t xml:space="preserve">Accordingly, we hold that a </w:t>
      </w:r>
      <w:r w:rsidRPr="00B308C9">
        <w:rPr>
          <w:i/>
          <w:color w:val="000000"/>
          <w:sz w:val="22"/>
          <w:szCs w:val="22"/>
        </w:rPr>
        <w:t>Sell</w:t>
      </w:r>
      <w:r w:rsidRPr="00BC2AC7">
        <w:rPr>
          <w:color w:val="000000"/>
          <w:sz w:val="22"/>
          <w:szCs w:val="22"/>
        </w:rPr>
        <w:t xml:space="preserve"> order must provide at least some limitations on the medications that may be administered and the maximum dosages and duration of treatment. At a minimum, to pass muster under Sell, the district court's order must identify: (1) the specific medication or range of medications that the treating physicians are permitted to use in their treatment of the defendant, (2) the maximum dosages that may be administered, and (3) the duration of time that involuntary treatment of the defendant may continue before the treating physicians are required to report back to the court on the defendant's mental condition and progress. We stress that while the court may not simply delegate unrestricted authority to physicians, the restrictions it does impose should be broad enough to give physicians a reasonable degree of flexibility in responding to changes in the defendant's condition. Moreover, the Government or the defendant may move to alter the court's order as the circumstances change and more becomes known about the defendant's response to the medication.  </w:t>
      </w:r>
    </w:p>
    <w:p w14:paraId="3C59D751" w14:textId="77777777" w:rsidR="00E54508" w:rsidRPr="00BC2AC7" w:rsidRDefault="00E54508" w:rsidP="00E54508">
      <w:pPr>
        <w:spacing w:line="240" w:lineRule="auto"/>
        <w:rPr>
          <w:color w:val="000000"/>
          <w:sz w:val="22"/>
          <w:szCs w:val="22"/>
        </w:rPr>
      </w:pPr>
    </w:p>
    <w:p w14:paraId="5DA61C62" w14:textId="77777777" w:rsidR="00E54508" w:rsidRPr="00BC2AC7" w:rsidRDefault="00E54508" w:rsidP="00E54508">
      <w:pPr>
        <w:spacing w:line="240" w:lineRule="auto"/>
        <w:rPr>
          <w:color w:val="000000"/>
          <w:sz w:val="22"/>
          <w:szCs w:val="22"/>
        </w:rPr>
      </w:pPr>
      <w:r w:rsidRPr="00BC2AC7">
        <w:rPr>
          <w:i/>
          <w:color w:val="000000"/>
          <w:sz w:val="22"/>
          <w:szCs w:val="22"/>
        </w:rPr>
        <w:t>United States v. Hernandez-Velasquez</w:t>
      </w:r>
      <w:r w:rsidRPr="00BC2AC7">
        <w:rPr>
          <w:color w:val="000000"/>
          <w:sz w:val="22"/>
          <w:szCs w:val="22"/>
        </w:rPr>
        <w:t xml:space="preserve"> 513 F.3d 908,916 (2007).  </w:t>
      </w:r>
    </w:p>
    <w:p w14:paraId="489BD343" w14:textId="77777777" w:rsidR="00E54508" w:rsidRPr="000915ED" w:rsidRDefault="00E54508" w:rsidP="00E54508">
      <w:pPr>
        <w:spacing w:line="240" w:lineRule="auto"/>
        <w:rPr>
          <w:sz w:val="22"/>
          <w:szCs w:val="22"/>
        </w:rPr>
      </w:pPr>
      <w:r w:rsidRPr="000915ED">
        <w:rPr>
          <w:color w:val="424242"/>
          <w:sz w:val="22"/>
          <w:szCs w:val="22"/>
        </w:rPr>
        <w:t xml:space="preserve"> </w:t>
      </w:r>
    </w:p>
    <w:p w14:paraId="1D048E41" w14:textId="6A345A0C" w:rsidR="00E54508" w:rsidRDefault="00474888" w:rsidP="00E54508">
      <w:pPr>
        <w:ind w:firstLine="533"/>
        <w:rPr>
          <w:sz w:val="22"/>
          <w:szCs w:val="22"/>
        </w:rPr>
      </w:pPr>
      <w:r>
        <w:rPr>
          <w:sz w:val="22"/>
          <w:szCs w:val="22"/>
        </w:rPr>
        <w:t>In a criminal prosecution</w:t>
      </w:r>
      <w:r w:rsidR="00E54508" w:rsidRPr="000915ED">
        <w:rPr>
          <w:sz w:val="22"/>
          <w:szCs w:val="22"/>
        </w:rPr>
        <w:t xml:space="preserve">, the defense </w:t>
      </w:r>
      <w:r>
        <w:rPr>
          <w:sz w:val="22"/>
          <w:szCs w:val="22"/>
        </w:rPr>
        <w:t xml:space="preserve">often </w:t>
      </w:r>
      <w:r w:rsidR="00E54508" w:rsidRPr="000915ED">
        <w:rPr>
          <w:sz w:val="22"/>
          <w:szCs w:val="22"/>
        </w:rPr>
        <w:t>a</w:t>
      </w:r>
      <w:r w:rsidR="00E54508">
        <w:rPr>
          <w:sz w:val="22"/>
          <w:szCs w:val="22"/>
        </w:rPr>
        <w:t>cknowledges that the State may be able to meet the first three factors of Sell</w:t>
      </w:r>
      <w:r>
        <w:rPr>
          <w:sz w:val="22"/>
          <w:szCs w:val="22"/>
        </w:rPr>
        <w:t xml:space="preserve"> but with a </w:t>
      </w:r>
      <w:r w:rsidR="004E454C">
        <w:rPr>
          <w:sz w:val="22"/>
          <w:szCs w:val="22"/>
        </w:rPr>
        <w:t>Noncriminal</w:t>
      </w:r>
      <w:r>
        <w:rPr>
          <w:sz w:val="22"/>
          <w:szCs w:val="22"/>
        </w:rPr>
        <w:t xml:space="preserve"> child, these points are not conceded.  Further,</w:t>
      </w:r>
      <w:r w:rsidR="00E54508">
        <w:rPr>
          <w:sz w:val="22"/>
          <w:szCs w:val="22"/>
        </w:rPr>
        <w:t xml:space="preserve"> given the lack of information provided about the currently proposed involuntary medications</w:t>
      </w:r>
      <w:r w:rsidR="004E454C">
        <w:rPr>
          <w:sz w:val="22"/>
          <w:szCs w:val="22"/>
        </w:rPr>
        <w:t>,</w:t>
      </w:r>
      <w:r w:rsidR="00E54508">
        <w:rPr>
          <w:sz w:val="22"/>
          <w:szCs w:val="22"/>
        </w:rPr>
        <w:t xml:space="preserve"> the </w:t>
      </w:r>
      <w:r w:rsidR="00FE69F2">
        <w:rPr>
          <w:sz w:val="22"/>
          <w:szCs w:val="22"/>
        </w:rPr>
        <w:t>child</w:t>
      </w:r>
      <w:r w:rsidR="00E54508">
        <w:rPr>
          <w:sz w:val="22"/>
          <w:szCs w:val="22"/>
        </w:rPr>
        <w:t xml:space="preserve"> does not </w:t>
      </w:r>
      <w:r w:rsidR="00E54508">
        <w:rPr>
          <w:sz w:val="22"/>
          <w:szCs w:val="22"/>
        </w:rPr>
        <w:lastRenderedPageBreak/>
        <w:t>believe the government has met the fourth Sell criterion.</w:t>
      </w:r>
      <w:r>
        <w:rPr>
          <w:sz w:val="22"/>
          <w:szCs w:val="22"/>
        </w:rPr>
        <w:t xml:space="preserve">  The State has offered no professional medical opinion in this case.</w:t>
      </w:r>
      <w:r w:rsidR="00E54508">
        <w:rPr>
          <w:sz w:val="22"/>
          <w:szCs w:val="22"/>
        </w:rPr>
        <w:t xml:space="preserve"> </w:t>
      </w:r>
    </w:p>
    <w:p w14:paraId="4BDAFCAD" w14:textId="7BBDC728" w:rsidR="00FE69F2" w:rsidRDefault="00E54508" w:rsidP="00E54508">
      <w:pPr>
        <w:ind w:firstLine="720"/>
        <w:rPr>
          <w:sz w:val="22"/>
          <w:szCs w:val="22"/>
        </w:rPr>
      </w:pPr>
      <w:r w:rsidRPr="000915ED">
        <w:rPr>
          <w:sz w:val="22"/>
          <w:szCs w:val="22"/>
        </w:rPr>
        <w:t xml:space="preserve">In the normal course, </w:t>
      </w:r>
      <w:r>
        <w:rPr>
          <w:sz w:val="22"/>
          <w:szCs w:val="22"/>
        </w:rPr>
        <w:t xml:space="preserve">the defense is generally provided </w:t>
      </w:r>
      <w:r w:rsidRPr="000915ED">
        <w:rPr>
          <w:sz w:val="22"/>
          <w:szCs w:val="22"/>
        </w:rPr>
        <w:t>with detailed petitions surrounding the issue of forced medications, including what the proposed medications are, the dosages, the expected result, possible less invasive alternatives, and the likelihood of improvement in the Defendant’s mental state and over</w:t>
      </w:r>
      <w:r>
        <w:rPr>
          <w:sz w:val="22"/>
          <w:szCs w:val="22"/>
        </w:rPr>
        <w:t>all</w:t>
      </w:r>
      <w:r w:rsidRPr="000915ED">
        <w:rPr>
          <w:sz w:val="22"/>
          <w:szCs w:val="22"/>
        </w:rPr>
        <w:t xml:space="preserve"> competency.  </w:t>
      </w:r>
      <w:r w:rsidR="00FE69F2">
        <w:rPr>
          <w:sz w:val="22"/>
          <w:szCs w:val="22"/>
        </w:rPr>
        <w:t>Is a child not worthy of these same considerations?</w:t>
      </w:r>
    </w:p>
    <w:p w14:paraId="52D21014" w14:textId="54D35E71" w:rsidR="00E54508" w:rsidRDefault="00E54508" w:rsidP="00E54508">
      <w:pPr>
        <w:ind w:firstLine="720"/>
        <w:rPr>
          <w:sz w:val="22"/>
          <w:szCs w:val="22"/>
        </w:rPr>
      </w:pPr>
      <w:r w:rsidRPr="000915ED">
        <w:rPr>
          <w:sz w:val="22"/>
          <w:szCs w:val="22"/>
        </w:rPr>
        <w:t xml:space="preserve">It </w:t>
      </w:r>
      <w:r>
        <w:rPr>
          <w:sz w:val="22"/>
          <w:szCs w:val="22"/>
        </w:rPr>
        <w:t xml:space="preserve">is </w:t>
      </w:r>
      <w:r w:rsidRPr="000915ED">
        <w:rPr>
          <w:sz w:val="22"/>
          <w:szCs w:val="22"/>
        </w:rPr>
        <w:t>impossible to resp</w:t>
      </w:r>
      <w:r>
        <w:rPr>
          <w:sz w:val="22"/>
          <w:szCs w:val="22"/>
        </w:rPr>
        <w:t>ond to the request to force medications</w:t>
      </w:r>
      <w:r w:rsidRPr="000915ED">
        <w:rPr>
          <w:sz w:val="22"/>
          <w:szCs w:val="22"/>
        </w:rPr>
        <w:t xml:space="preserve"> specifically because the State and their agents </w:t>
      </w:r>
      <w:r>
        <w:rPr>
          <w:sz w:val="22"/>
          <w:szCs w:val="22"/>
        </w:rPr>
        <w:t>are unlikely to provide</w:t>
      </w:r>
      <w:r w:rsidRPr="000915ED">
        <w:rPr>
          <w:sz w:val="22"/>
          <w:szCs w:val="22"/>
        </w:rPr>
        <w:t xml:space="preserve"> the most basic petition</w:t>
      </w:r>
      <w:r>
        <w:rPr>
          <w:sz w:val="22"/>
          <w:szCs w:val="22"/>
        </w:rPr>
        <w:t xml:space="preserve"> for such an intrusion.  Everything provided by the state and their evaluator states things in terms of “may,” and “possibly,” but they provide no specific information, and they state no side effects, which is mandatory when trying to force medication.  </w:t>
      </w:r>
    </w:p>
    <w:p w14:paraId="35CBC745" w14:textId="53F03DCC" w:rsidR="00474888" w:rsidRPr="00474888" w:rsidRDefault="00474888" w:rsidP="00E54508">
      <w:pPr>
        <w:ind w:firstLine="720"/>
        <w:rPr>
          <w:b/>
          <w:bCs/>
          <w:sz w:val="22"/>
          <w:szCs w:val="22"/>
          <w:u w:val="single"/>
          <w:lang w:val="en"/>
        </w:rPr>
      </w:pPr>
      <w:r>
        <w:rPr>
          <w:sz w:val="22"/>
          <w:szCs w:val="22"/>
        </w:rPr>
        <w:tab/>
      </w:r>
      <w:r>
        <w:rPr>
          <w:sz w:val="22"/>
          <w:szCs w:val="22"/>
        </w:rPr>
        <w:tab/>
      </w:r>
      <w:r>
        <w:rPr>
          <w:sz w:val="22"/>
          <w:szCs w:val="22"/>
        </w:rPr>
        <w:tab/>
      </w:r>
      <w:r>
        <w:rPr>
          <w:sz w:val="22"/>
          <w:szCs w:val="22"/>
        </w:rPr>
        <w:tab/>
      </w:r>
      <w:r w:rsidRPr="00474888">
        <w:rPr>
          <w:b/>
          <w:bCs/>
          <w:sz w:val="22"/>
          <w:szCs w:val="22"/>
          <w:u w:val="single"/>
        </w:rPr>
        <w:t>Conclusion</w:t>
      </w:r>
    </w:p>
    <w:p w14:paraId="3A566349" w14:textId="5126D7AB" w:rsidR="002435DC" w:rsidRDefault="00474888" w:rsidP="00F13B7A">
      <w:pPr>
        <w:rPr>
          <w:szCs w:val="24"/>
        </w:rPr>
      </w:pPr>
      <w:r>
        <w:rPr>
          <w:szCs w:val="24"/>
        </w:rPr>
        <w:tab/>
        <w:t xml:space="preserve">This Court should deny the State’s request to forcibly hold </w:t>
      </w:r>
      <w:r w:rsidR="000044E8">
        <w:rPr>
          <w:szCs w:val="24"/>
        </w:rPr>
        <w:t>Jane</w:t>
      </w:r>
      <w:r>
        <w:rPr>
          <w:szCs w:val="24"/>
        </w:rPr>
        <w:t xml:space="preserve"> down and force a needle into her body.  When </w:t>
      </w:r>
      <w:r w:rsidR="000044E8">
        <w:rPr>
          <w:szCs w:val="24"/>
        </w:rPr>
        <w:t>Jane</w:t>
      </w:r>
      <w:r>
        <w:rPr>
          <w:szCs w:val="24"/>
        </w:rPr>
        <w:t xml:space="preserve"> likens it to a</w:t>
      </w:r>
      <w:r w:rsidR="0086704A">
        <w:rPr>
          <w:szCs w:val="24"/>
        </w:rPr>
        <w:t xml:space="preserve">n act of aggression against her body, she makes a fair point, and unless the State is able to meet the high burden under </w:t>
      </w:r>
      <w:r w:rsidR="0086704A" w:rsidRPr="004E454C">
        <w:rPr>
          <w:i/>
          <w:iCs/>
          <w:szCs w:val="24"/>
        </w:rPr>
        <w:t>Sell v. The United States</w:t>
      </w:r>
      <w:r w:rsidR="0086704A">
        <w:rPr>
          <w:szCs w:val="24"/>
        </w:rPr>
        <w:t>, and accepted into law by the Washington State Supreme court in Harper and Trueblood, this court should “just say no.”</w:t>
      </w:r>
    </w:p>
    <w:p w14:paraId="77C4EEF1" w14:textId="590F9C98" w:rsidR="0086704A" w:rsidRDefault="0086704A" w:rsidP="00F13B7A">
      <w:pPr>
        <w:rPr>
          <w:szCs w:val="24"/>
        </w:rPr>
      </w:pPr>
    </w:p>
    <w:p w14:paraId="46F75599" w14:textId="2714F28A" w:rsidR="0086704A" w:rsidRPr="0086704A" w:rsidRDefault="0086704A" w:rsidP="00F13B7A">
      <w:pPr>
        <w:rPr>
          <w:szCs w:val="24"/>
        </w:rPr>
      </w:pPr>
      <w:r>
        <w:rPr>
          <w:szCs w:val="24"/>
        </w:rPr>
        <w:tab/>
      </w:r>
      <w:r>
        <w:rPr>
          <w:szCs w:val="24"/>
        </w:rPr>
        <w:tab/>
      </w:r>
      <w:r>
        <w:rPr>
          <w:szCs w:val="24"/>
        </w:rPr>
        <w:tab/>
      </w:r>
      <w:r>
        <w:rPr>
          <w:szCs w:val="24"/>
        </w:rPr>
        <w:tab/>
      </w:r>
      <w:r>
        <w:rPr>
          <w:szCs w:val="24"/>
        </w:rPr>
        <w:tab/>
      </w:r>
      <w:r>
        <w:rPr>
          <w:szCs w:val="24"/>
        </w:rPr>
        <w:tab/>
      </w:r>
      <w:r w:rsidRPr="0086704A">
        <w:rPr>
          <w:szCs w:val="24"/>
        </w:rPr>
        <w:tab/>
      </w:r>
      <w:r w:rsidR="00494765">
        <w:rPr>
          <w:szCs w:val="24"/>
        </w:rPr>
        <w:t>_________________________</w:t>
      </w:r>
    </w:p>
    <w:p w14:paraId="3CB1CD63" w14:textId="244B59F3" w:rsidR="0086704A" w:rsidRPr="0086704A" w:rsidRDefault="0086704A" w:rsidP="00F13B7A">
      <w:pPr>
        <w:rPr>
          <w:szCs w:val="24"/>
        </w:rPr>
      </w:pPr>
      <w:r w:rsidRPr="0086704A">
        <w:rPr>
          <w:szCs w:val="24"/>
        </w:rPr>
        <w:tab/>
      </w:r>
      <w:r w:rsidRPr="0086704A">
        <w:rPr>
          <w:szCs w:val="24"/>
        </w:rPr>
        <w:tab/>
      </w:r>
      <w:r w:rsidRPr="0086704A">
        <w:rPr>
          <w:szCs w:val="24"/>
        </w:rPr>
        <w:tab/>
      </w:r>
      <w:r w:rsidRPr="0086704A">
        <w:rPr>
          <w:szCs w:val="24"/>
        </w:rPr>
        <w:tab/>
      </w:r>
      <w:r w:rsidRPr="0086704A">
        <w:rPr>
          <w:szCs w:val="24"/>
        </w:rPr>
        <w:tab/>
      </w:r>
      <w:r w:rsidRPr="0086704A">
        <w:rPr>
          <w:szCs w:val="24"/>
        </w:rPr>
        <w:tab/>
      </w:r>
      <w:r w:rsidRPr="0086704A">
        <w:rPr>
          <w:szCs w:val="24"/>
        </w:rPr>
        <w:tab/>
      </w:r>
      <w:r w:rsidR="00494765">
        <w:rPr>
          <w:szCs w:val="24"/>
        </w:rPr>
        <w:t>Attorney for Jane</w:t>
      </w:r>
    </w:p>
    <w:p w14:paraId="26F43030" w14:textId="6EF33529" w:rsidR="00EE2B38" w:rsidRPr="0086704A" w:rsidRDefault="00EE2B38" w:rsidP="006247DD">
      <w:pPr>
        <w:rPr>
          <w:szCs w:val="24"/>
        </w:rPr>
      </w:pPr>
    </w:p>
    <w:sectPr w:rsidR="00EE2B38" w:rsidRPr="0086704A" w:rsidSect="006A421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2520" w:left="1627"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ADB0" w14:textId="77777777" w:rsidR="00525F01" w:rsidRDefault="00525F01">
      <w:pPr>
        <w:spacing w:line="240" w:lineRule="auto"/>
      </w:pPr>
      <w:r>
        <w:separator/>
      </w:r>
    </w:p>
  </w:endnote>
  <w:endnote w:type="continuationSeparator" w:id="0">
    <w:p w14:paraId="091D0F23" w14:textId="77777777" w:rsidR="00525F01" w:rsidRDefault="00525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77C" w14:textId="77777777" w:rsidR="00494765" w:rsidRDefault="0049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108" w:type="dxa"/>
      <w:tblLayout w:type="fixed"/>
      <w:tblLook w:val="0000" w:firstRow="0" w:lastRow="0" w:firstColumn="0" w:lastColumn="0" w:noHBand="0" w:noVBand="0"/>
    </w:tblPr>
    <w:tblGrid>
      <w:gridCol w:w="3780"/>
      <w:gridCol w:w="2160"/>
      <w:gridCol w:w="3528"/>
    </w:tblGrid>
    <w:tr w:rsidR="00480702" w14:paraId="0A2072AE" w14:textId="77777777" w:rsidTr="00DD5C83">
      <w:tc>
        <w:tcPr>
          <w:tcW w:w="3780" w:type="dxa"/>
        </w:tcPr>
        <w:p w14:paraId="46CA1F50" w14:textId="2715EE94" w:rsidR="00480702" w:rsidRPr="006B49C6" w:rsidRDefault="00737C40" w:rsidP="00151C12">
          <w:pPr>
            <w:pStyle w:val="Footer"/>
            <w:rPr>
              <w:sz w:val="18"/>
              <w:szCs w:val="18"/>
            </w:rPr>
          </w:pPr>
          <w:r>
            <w:rPr>
              <w:sz w:val="18"/>
              <w:szCs w:val="18"/>
            </w:rPr>
            <w:t xml:space="preserve">Response to </w:t>
          </w:r>
          <w:r w:rsidR="006247DD">
            <w:rPr>
              <w:sz w:val="18"/>
              <w:szCs w:val="18"/>
            </w:rPr>
            <w:t>State</w:t>
          </w:r>
          <w:r w:rsidR="007917A6">
            <w:rPr>
              <w:sz w:val="18"/>
              <w:szCs w:val="18"/>
            </w:rPr>
            <w:t xml:space="preserve">’s Motion </w:t>
          </w:r>
          <w:r w:rsidR="00480702">
            <w:rPr>
              <w:sz w:val="18"/>
              <w:szCs w:val="18"/>
            </w:rPr>
            <w:t xml:space="preserve">-- Page </w:t>
          </w:r>
          <w:r w:rsidR="00480702">
            <w:rPr>
              <w:sz w:val="18"/>
              <w:szCs w:val="18"/>
            </w:rPr>
            <w:fldChar w:fldCharType="begin"/>
          </w:r>
          <w:r w:rsidR="00480702">
            <w:rPr>
              <w:sz w:val="18"/>
              <w:szCs w:val="18"/>
            </w:rPr>
            <w:instrText xml:space="preserve"> PAGE   \* MERGEFORMAT </w:instrText>
          </w:r>
          <w:r w:rsidR="00480702">
            <w:rPr>
              <w:sz w:val="18"/>
              <w:szCs w:val="18"/>
            </w:rPr>
            <w:fldChar w:fldCharType="separate"/>
          </w:r>
          <w:r w:rsidR="005264F9">
            <w:rPr>
              <w:noProof/>
              <w:sz w:val="18"/>
              <w:szCs w:val="18"/>
            </w:rPr>
            <w:t>2</w:t>
          </w:r>
          <w:r w:rsidR="00480702">
            <w:rPr>
              <w:sz w:val="18"/>
              <w:szCs w:val="18"/>
            </w:rPr>
            <w:fldChar w:fldCharType="end"/>
          </w:r>
          <w:r w:rsidR="00480702">
            <w:rPr>
              <w:sz w:val="18"/>
              <w:szCs w:val="18"/>
            </w:rPr>
            <w:t xml:space="preserve"> of </w:t>
          </w:r>
          <w:r w:rsidR="00480702">
            <w:rPr>
              <w:sz w:val="18"/>
              <w:szCs w:val="18"/>
            </w:rPr>
            <w:fldChar w:fldCharType="begin"/>
          </w:r>
          <w:r w:rsidR="00480702">
            <w:rPr>
              <w:sz w:val="18"/>
              <w:szCs w:val="18"/>
            </w:rPr>
            <w:instrText xml:space="preserve"> NUMPAGES   \* MERGEFORMAT </w:instrText>
          </w:r>
          <w:r w:rsidR="00480702">
            <w:rPr>
              <w:sz w:val="18"/>
              <w:szCs w:val="18"/>
            </w:rPr>
            <w:fldChar w:fldCharType="separate"/>
          </w:r>
          <w:r w:rsidR="005264F9">
            <w:rPr>
              <w:noProof/>
              <w:sz w:val="18"/>
              <w:szCs w:val="18"/>
            </w:rPr>
            <w:t>2</w:t>
          </w:r>
          <w:r w:rsidR="00480702">
            <w:rPr>
              <w:sz w:val="18"/>
              <w:szCs w:val="18"/>
            </w:rPr>
            <w:fldChar w:fldCharType="end"/>
          </w:r>
        </w:p>
      </w:tc>
      <w:tc>
        <w:tcPr>
          <w:tcW w:w="2160" w:type="dxa"/>
        </w:tcPr>
        <w:p w14:paraId="53201388" w14:textId="77777777" w:rsidR="00480702" w:rsidRPr="001A0F1B" w:rsidRDefault="00480702" w:rsidP="00B759D5">
          <w:pPr>
            <w:rPr>
              <w:sz w:val="18"/>
              <w:szCs w:val="18"/>
            </w:rPr>
          </w:pPr>
        </w:p>
      </w:tc>
      <w:tc>
        <w:tcPr>
          <w:tcW w:w="3528" w:type="dxa"/>
        </w:tcPr>
        <w:p w14:paraId="0CEDE2ED" w14:textId="41C32826" w:rsidR="00480702" w:rsidRPr="004F13F2" w:rsidRDefault="00494765" w:rsidP="004F13F2">
          <w:pPr>
            <w:spacing w:line="240" w:lineRule="auto"/>
            <w:jc w:val="right"/>
            <w:rPr>
              <w:b/>
              <w:sz w:val="18"/>
              <w:szCs w:val="18"/>
            </w:rPr>
          </w:pPr>
          <w:r>
            <w:rPr>
              <w:b/>
              <w:sz w:val="18"/>
              <w:szCs w:val="18"/>
            </w:rPr>
            <w:t>Law Firm</w:t>
          </w:r>
        </w:p>
        <w:p w14:paraId="1D275CD1" w14:textId="77777777" w:rsidR="00480702" w:rsidRDefault="00480702">
          <w:pPr>
            <w:pStyle w:val="Footer"/>
            <w:jc w:val="center"/>
            <w:rPr>
              <w:sz w:val="15"/>
            </w:rPr>
          </w:pPr>
        </w:p>
      </w:tc>
    </w:tr>
  </w:tbl>
  <w:p w14:paraId="19DC2BE5" w14:textId="77777777" w:rsidR="00480702" w:rsidRDefault="00480702">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6D6D" w14:textId="77777777" w:rsidR="00494765" w:rsidRDefault="0049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5437" w14:textId="77777777" w:rsidR="00525F01" w:rsidRDefault="00525F01">
      <w:pPr>
        <w:spacing w:line="240" w:lineRule="auto"/>
      </w:pPr>
      <w:r>
        <w:separator/>
      </w:r>
    </w:p>
  </w:footnote>
  <w:footnote w:type="continuationSeparator" w:id="0">
    <w:p w14:paraId="77D422F5" w14:textId="77777777" w:rsidR="00525F01" w:rsidRDefault="00525F01">
      <w:pPr>
        <w:ind w:right="57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9450" w14:textId="77777777" w:rsidR="00494765" w:rsidRDefault="0049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2544" w14:textId="1CB0E7C4" w:rsidR="00480702" w:rsidRDefault="00737C40">
    <w:r>
      <w:rPr>
        <w:noProof/>
      </w:rPr>
      <mc:AlternateContent>
        <mc:Choice Requires="wps">
          <w:drawing>
            <wp:anchor distT="0" distB="0" distL="114300" distR="114300" simplePos="0" relativeHeight="251657728" behindDoc="0" locked="0" layoutInCell="0" allowOverlap="1" wp14:anchorId="6B7FA20F" wp14:editId="722BFDB4">
              <wp:simplePos x="0" y="0"/>
              <wp:positionH relativeFrom="column">
                <wp:posOffset>-640080</wp:posOffset>
              </wp:positionH>
              <wp:positionV relativeFrom="paragraph">
                <wp:posOffset>349250</wp:posOffset>
              </wp:positionV>
              <wp:extent cx="457835" cy="7697470"/>
              <wp:effectExtent l="0" t="0" r="1270" b="19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769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C041" w14:textId="77777777" w:rsidR="00480702" w:rsidRDefault="00480702">
                          <w:pPr>
                            <w:pStyle w:val="LineNumbers"/>
                            <w:spacing w:line="480" w:lineRule="exact"/>
                          </w:pPr>
                          <w:r>
                            <w:t>1</w:t>
                          </w:r>
                        </w:p>
                        <w:p w14:paraId="66C8538E" w14:textId="77777777" w:rsidR="00480702" w:rsidRDefault="00480702">
                          <w:pPr>
                            <w:pStyle w:val="LineNumbers"/>
                            <w:spacing w:line="480" w:lineRule="exact"/>
                          </w:pPr>
                          <w:r>
                            <w:t>2</w:t>
                          </w:r>
                        </w:p>
                        <w:p w14:paraId="2E3A558A" w14:textId="77777777" w:rsidR="00480702" w:rsidRDefault="00480702">
                          <w:pPr>
                            <w:pStyle w:val="LineNumbers"/>
                            <w:spacing w:line="480" w:lineRule="exact"/>
                          </w:pPr>
                          <w:r>
                            <w:t>3</w:t>
                          </w:r>
                        </w:p>
                        <w:p w14:paraId="0EF058A4" w14:textId="77777777" w:rsidR="00480702" w:rsidRDefault="00480702">
                          <w:pPr>
                            <w:pStyle w:val="LineNumbers"/>
                            <w:spacing w:line="480" w:lineRule="exact"/>
                          </w:pPr>
                          <w:r>
                            <w:t>4</w:t>
                          </w:r>
                        </w:p>
                        <w:p w14:paraId="35854653" w14:textId="77777777" w:rsidR="00480702" w:rsidRDefault="00480702">
                          <w:pPr>
                            <w:pStyle w:val="LineNumbers"/>
                            <w:spacing w:line="480" w:lineRule="exact"/>
                          </w:pPr>
                          <w:r>
                            <w:t>5</w:t>
                          </w:r>
                        </w:p>
                        <w:p w14:paraId="54E7A136" w14:textId="77777777" w:rsidR="00480702" w:rsidRDefault="00480702">
                          <w:pPr>
                            <w:pStyle w:val="LineNumbers"/>
                            <w:spacing w:line="480" w:lineRule="exact"/>
                          </w:pPr>
                          <w:r>
                            <w:t>6</w:t>
                          </w:r>
                        </w:p>
                        <w:p w14:paraId="55208442" w14:textId="77777777" w:rsidR="00480702" w:rsidRDefault="00480702">
                          <w:pPr>
                            <w:pStyle w:val="LineNumbers"/>
                            <w:spacing w:line="480" w:lineRule="exact"/>
                          </w:pPr>
                          <w:r>
                            <w:t>7</w:t>
                          </w:r>
                        </w:p>
                        <w:p w14:paraId="5B7ECA8A" w14:textId="77777777" w:rsidR="00480702" w:rsidRDefault="00480702">
                          <w:pPr>
                            <w:pStyle w:val="LineNumbers"/>
                            <w:spacing w:line="480" w:lineRule="exact"/>
                          </w:pPr>
                          <w:r>
                            <w:t>8</w:t>
                          </w:r>
                        </w:p>
                        <w:p w14:paraId="2A2D05EC" w14:textId="77777777" w:rsidR="00480702" w:rsidRDefault="00480702">
                          <w:pPr>
                            <w:pStyle w:val="LineNumbers"/>
                            <w:spacing w:line="480" w:lineRule="exact"/>
                          </w:pPr>
                          <w:r>
                            <w:t>9</w:t>
                          </w:r>
                        </w:p>
                        <w:p w14:paraId="1C48F6E5" w14:textId="77777777" w:rsidR="00480702" w:rsidRDefault="00480702">
                          <w:pPr>
                            <w:pStyle w:val="LineNumbers"/>
                            <w:spacing w:line="480" w:lineRule="exact"/>
                          </w:pPr>
                          <w:r>
                            <w:t>10</w:t>
                          </w:r>
                        </w:p>
                        <w:p w14:paraId="36345F99" w14:textId="77777777" w:rsidR="00480702" w:rsidRDefault="00480702">
                          <w:pPr>
                            <w:pStyle w:val="LineNumbers"/>
                            <w:spacing w:line="480" w:lineRule="exact"/>
                          </w:pPr>
                          <w:r>
                            <w:t>11</w:t>
                          </w:r>
                        </w:p>
                        <w:p w14:paraId="12443119" w14:textId="77777777" w:rsidR="00480702" w:rsidRDefault="00480702">
                          <w:pPr>
                            <w:pStyle w:val="LineNumbers"/>
                            <w:spacing w:line="480" w:lineRule="exact"/>
                          </w:pPr>
                          <w:r>
                            <w:t>12</w:t>
                          </w:r>
                        </w:p>
                        <w:p w14:paraId="5D1C4E9E" w14:textId="77777777" w:rsidR="00480702" w:rsidRDefault="00480702">
                          <w:pPr>
                            <w:pStyle w:val="LineNumbers"/>
                            <w:spacing w:line="480" w:lineRule="exact"/>
                          </w:pPr>
                          <w:r>
                            <w:t>13</w:t>
                          </w:r>
                        </w:p>
                        <w:p w14:paraId="2200E8A1" w14:textId="77777777" w:rsidR="00480702" w:rsidRDefault="00480702">
                          <w:pPr>
                            <w:pStyle w:val="LineNumbers"/>
                            <w:spacing w:line="480" w:lineRule="exact"/>
                          </w:pPr>
                          <w:r>
                            <w:t>14</w:t>
                          </w:r>
                        </w:p>
                        <w:p w14:paraId="17E92B2D" w14:textId="77777777" w:rsidR="00480702" w:rsidRDefault="00480702">
                          <w:pPr>
                            <w:pStyle w:val="LineNumbers"/>
                            <w:spacing w:line="480" w:lineRule="exact"/>
                          </w:pPr>
                          <w:r>
                            <w:t>15</w:t>
                          </w:r>
                        </w:p>
                        <w:p w14:paraId="672A2A26" w14:textId="77777777" w:rsidR="00480702" w:rsidRDefault="00480702">
                          <w:pPr>
                            <w:pStyle w:val="LineNumbers"/>
                            <w:spacing w:line="480" w:lineRule="exact"/>
                          </w:pPr>
                          <w:r>
                            <w:t>16</w:t>
                          </w:r>
                        </w:p>
                        <w:p w14:paraId="579FD49C" w14:textId="77777777" w:rsidR="00480702" w:rsidRDefault="00480702">
                          <w:pPr>
                            <w:pStyle w:val="LineNumbers"/>
                            <w:spacing w:line="480" w:lineRule="exact"/>
                          </w:pPr>
                          <w:r>
                            <w:t>17</w:t>
                          </w:r>
                        </w:p>
                        <w:p w14:paraId="29AC5896" w14:textId="77777777" w:rsidR="00480702" w:rsidRDefault="00480702">
                          <w:pPr>
                            <w:pStyle w:val="LineNumbers"/>
                            <w:spacing w:line="480" w:lineRule="exact"/>
                          </w:pPr>
                          <w:r>
                            <w:t>18</w:t>
                          </w:r>
                        </w:p>
                        <w:p w14:paraId="53CF4C41" w14:textId="77777777" w:rsidR="00480702" w:rsidRDefault="00480702">
                          <w:pPr>
                            <w:pStyle w:val="LineNumbers"/>
                            <w:spacing w:line="480" w:lineRule="exact"/>
                          </w:pPr>
                          <w:r>
                            <w:t>19</w:t>
                          </w:r>
                        </w:p>
                        <w:p w14:paraId="52AD4AAE" w14:textId="77777777" w:rsidR="00480702" w:rsidRDefault="00480702">
                          <w:pPr>
                            <w:pStyle w:val="LineNumbers"/>
                            <w:spacing w:line="480" w:lineRule="exact"/>
                          </w:pPr>
                          <w:r>
                            <w:t>20</w:t>
                          </w:r>
                        </w:p>
                        <w:p w14:paraId="5D16D2B8" w14:textId="77777777" w:rsidR="00480702" w:rsidRDefault="00480702">
                          <w:pPr>
                            <w:pStyle w:val="LineNumbers"/>
                            <w:spacing w:line="480" w:lineRule="exact"/>
                          </w:pPr>
                          <w:r>
                            <w:t>21</w:t>
                          </w:r>
                        </w:p>
                        <w:p w14:paraId="4F9ED10F" w14:textId="77777777" w:rsidR="00480702" w:rsidRDefault="00480702">
                          <w:pPr>
                            <w:pStyle w:val="LineNumbers"/>
                            <w:spacing w:line="480" w:lineRule="exact"/>
                          </w:pPr>
                          <w:r>
                            <w:t>22</w:t>
                          </w:r>
                        </w:p>
                        <w:p w14:paraId="1AC6FBBA" w14:textId="77777777" w:rsidR="00480702" w:rsidRDefault="00480702">
                          <w:pPr>
                            <w:pStyle w:val="LineNumbers"/>
                            <w:spacing w:line="480" w:lineRule="exact"/>
                          </w:pPr>
                          <w:r>
                            <w:t>23</w:t>
                          </w:r>
                        </w:p>
                        <w:p w14:paraId="5EB3C8CA" w14:textId="77777777" w:rsidR="00480702" w:rsidRDefault="00480702">
                          <w:pPr>
                            <w:pStyle w:val="LineNumbers"/>
                            <w:spacing w:line="480" w:lineRule="exact"/>
                          </w:pPr>
                          <w:r>
                            <w:t>24</w:t>
                          </w:r>
                        </w:p>
                        <w:p w14:paraId="322ACC65" w14:textId="77777777" w:rsidR="00480702" w:rsidRDefault="00480702">
                          <w:pPr>
                            <w:pStyle w:val="LineNumbers"/>
                            <w:spacing w:line="480" w:lineRule="exact"/>
                          </w:pPr>
                          <w:r>
                            <w:t>25</w:t>
                          </w:r>
                        </w:p>
                        <w:p w14:paraId="2EEFFE75" w14:textId="77777777" w:rsidR="00480702" w:rsidRDefault="00480702">
                          <w:pPr>
                            <w:pStyle w:val="LineNumbers"/>
                            <w:spacing w:line="4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A20F" id="Rectangle 1" o:spid="_x0000_s1026" style="position:absolute;margin-left:-50.4pt;margin-top:27.5pt;width:36.05pt;height:60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" o:allowincell="f" filled="f" stroked="f">
              <v:textbox inset="0,0,0,0">
                <w:txbxContent>
                  <w:p w14:paraId="23DCC041" w14:textId="77777777" w:rsidR="00480702" w:rsidRDefault="00480702">
                    <w:pPr>
                      <w:pStyle w:val="LineNumbers"/>
                      <w:spacing w:line="480" w:lineRule="exact"/>
                    </w:pPr>
                    <w:r>
                      <w:t>1</w:t>
                    </w:r>
                  </w:p>
                  <w:p w14:paraId="66C8538E" w14:textId="77777777" w:rsidR="00480702" w:rsidRDefault="00480702">
                    <w:pPr>
                      <w:pStyle w:val="LineNumbers"/>
                      <w:spacing w:line="480" w:lineRule="exact"/>
                    </w:pPr>
                    <w:r>
                      <w:t>2</w:t>
                    </w:r>
                  </w:p>
                  <w:p w14:paraId="2E3A558A" w14:textId="77777777" w:rsidR="00480702" w:rsidRDefault="00480702">
                    <w:pPr>
                      <w:pStyle w:val="LineNumbers"/>
                      <w:spacing w:line="480" w:lineRule="exact"/>
                    </w:pPr>
                    <w:r>
                      <w:t>3</w:t>
                    </w:r>
                  </w:p>
                  <w:p w14:paraId="0EF058A4" w14:textId="77777777" w:rsidR="00480702" w:rsidRDefault="00480702">
                    <w:pPr>
                      <w:pStyle w:val="LineNumbers"/>
                      <w:spacing w:line="480" w:lineRule="exact"/>
                    </w:pPr>
                    <w:r>
                      <w:t>4</w:t>
                    </w:r>
                  </w:p>
                  <w:p w14:paraId="35854653" w14:textId="77777777" w:rsidR="00480702" w:rsidRDefault="00480702">
                    <w:pPr>
                      <w:pStyle w:val="LineNumbers"/>
                      <w:spacing w:line="480" w:lineRule="exact"/>
                    </w:pPr>
                    <w:r>
                      <w:t>5</w:t>
                    </w:r>
                  </w:p>
                  <w:p w14:paraId="54E7A136" w14:textId="77777777" w:rsidR="00480702" w:rsidRDefault="00480702">
                    <w:pPr>
                      <w:pStyle w:val="LineNumbers"/>
                      <w:spacing w:line="480" w:lineRule="exact"/>
                    </w:pPr>
                    <w:r>
                      <w:t>6</w:t>
                    </w:r>
                  </w:p>
                  <w:p w14:paraId="55208442" w14:textId="77777777" w:rsidR="00480702" w:rsidRDefault="00480702">
                    <w:pPr>
                      <w:pStyle w:val="LineNumbers"/>
                      <w:spacing w:line="480" w:lineRule="exact"/>
                    </w:pPr>
                    <w:r>
                      <w:t>7</w:t>
                    </w:r>
                  </w:p>
                  <w:p w14:paraId="5B7ECA8A" w14:textId="77777777" w:rsidR="00480702" w:rsidRDefault="00480702">
                    <w:pPr>
                      <w:pStyle w:val="LineNumbers"/>
                      <w:spacing w:line="480" w:lineRule="exact"/>
                    </w:pPr>
                    <w:r>
                      <w:t>8</w:t>
                    </w:r>
                  </w:p>
                  <w:p w14:paraId="2A2D05EC" w14:textId="77777777" w:rsidR="00480702" w:rsidRDefault="00480702">
                    <w:pPr>
                      <w:pStyle w:val="LineNumbers"/>
                      <w:spacing w:line="480" w:lineRule="exact"/>
                    </w:pPr>
                    <w:r>
                      <w:t>9</w:t>
                    </w:r>
                  </w:p>
                  <w:p w14:paraId="1C48F6E5" w14:textId="77777777" w:rsidR="00480702" w:rsidRDefault="00480702">
                    <w:pPr>
                      <w:pStyle w:val="LineNumbers"/>
                      <w:spacing w:line="480" w:lineRule="exact"/>
                    </w:pPr>
                    <w:r>
                      <w:t>10</w:t>
                    </w:r>
                  </w:p>
                  <w:p w14:paraId="36345F99" w14:textId="77777777" w:rsidR="00480702" w:rsidRDefault="00480702">
                    <w:pPr>
                      <w:pStyle w:val="LineNumbers"/>
                      <w:spacing w:line="480" w:lineRule="exact"/>
                    </w:pPr>
                    <w:r>
                      <w:t>11</w:t>
                    </w:r>
                  </w:p>
                  <w:p w14:paraId="12443119" w14:textId="77777777" w:rsidR="00480702" w:rsidRDefault="00480702">
                    <w:pPr>
                      <w:pStyle w:val="LineNumbers"/>
                      <w:spacing w:line="480" w:lineRule="exact"/>
                    </w:pPr>
                    <w:r>
                      <w:t>12</w:t>
                    </w:r>
                  </w:p>
                  <w:p w14:paraId="5D1C4E9E" w14:textId="77777777" w:rsidR="00480702" w:rsidRDefault="00480702">
                    <w:pPr>
                      <w:pStyle w:val="LineNumbers"/>
                      <w:spacing w:line="480" w:lineRule="exact"/>
                    </w:pPr>
                    <w:r>
                      <w:t>13</w:t>
                    </w:r>
                  </w:p>
                  <w:p w14:paraId="2200E8A1" w14:textId="77777777" w:rsidR="00480702" w:rsidRDefault="00480702">
                    <w:pPr>
                      <w:pStyle w:val="LineNumbers"/>
                      <w:spacing w:line="480" w:lineRule="exact"/>
                    </w:pPr>
                    <w:r>
                      <w:t>14</w:t>
                    </w:r>
                  </w:p>
                  <w:p w14:paraId="17E92B2D" w14:textId="77777777" w:rsidR="00480702" w:rsidRDefault="00480702">
                    <w:pPr>
                      <w:pStyle w:val="LineNumbers"/>
                      <w:spacing w:line="480" w:lineRule="exact"/>
                    </w:pPr>
                    <w:r>
                      <w:t>15</w:t>
                    </w:r>
                  </w:p>
                  <w:p w14:paraId="672A2A26" w14:textId="77777777" w:rsidR="00480702" w:rsidRDefault="00480702">
                    <w:pPr>
                      <w:pStyle w:val="LineNumbers"/>
                      <w:spacing w:line="480" w:lineRule="exact"/>
                    </w:pPr>
                    <w:r>
                      <w:t>16</w:t>
                    </w:r>
                  </w:p>
                  <w:p w14:paraId="579FD49C" w14:textId="77777777" w:rsidR="00480702" w:rsidRDefault="00480702">
                    <w:pPr>
                      <w:pStyle w:val="LineNumbers"/>
                      <w:spacing w:line="480" w:lineRule="exact"/>
                    </w:pPr>
                    <w:r>
                      <w:t>17</w:t>
                    </w:r>
                  </w:p>
                  <w:p w14:paraId="29AC5896" w14:textId="77777777" w:rsidR="00480702" w:rsidRDefault="00480702">
                    <w:pPr>
                      <w:pStyle w:val="LineNumbers"/>
                      <w:spacing w:line="480" w:lineRule="exact"/>
                    </w:pPr>
                    <w:r>
                      <w:t>18</w:t>
                    </w:r>
                  </w:p>
                  <w:p w14:paraId="53CF4C41" w14:textId="77777777" w:rsidR="00480702" w:rsidRDefault="00480702">
                    <w:pPr>
                      <w:pStyle w:val="LineNumbers"/>
                      <w:spacing w:line="480" w:lineRule="exact"/>
                    </w:pPr>
                    <w:r>
                      <w:t>19</w:t>
                    </w:r>
                  </w:p>
                  <w:p w14:paraId="52AD4AAE" w14:textId="77777777" w:rsidR="00480702" w:rsidRDefault="00480702">
                    <w:pPr>
                      <w:pStyle w:val="LineNumbers"/>
                      <w:spacing w:line="480" w:lineRule="exact"/>
                    </w:pPr>
                    <w:r>
                      <w:t>20</w:t>
                    </w:r>
                  </w:p>
                  <w:p w14:paraId="5D16D2B8" w14:textId="77777777" w:rsidR="00480702" w:rsidRDefault="00480702">
                    <w:pPr>
                      <w:pStyle w:val="LineNumbers"/>
                      <w:spacing w:line="480" w:lineRule="exact"/>
                    </w:pPr>
                    <w:r>
                      <w:t>21</w:t>
                    </w:r>
                  </w:p>
                  <w:p w14:paraId="4F9ED10F" w14:textId="77777777" w:rsidR="00480702" w:rsidRDefault="00480702">
                    <w:pPr>
                      <w:pStyle w:val="LineNumbers"/>
                      <w:spacing w:line="480" w:lineRule="exact"/>
                    </w:pPr>
                    <w:r>
                      <w:t>22</w:t>
                    </w:r>
                  </w:p>
                  <w:p w14:paraId="1AC6FBBA" w14:textId="77777777" w:rsidR="00480702" w:rsidRDefault="00480702">
                    <w:pPr>
                      <w:pStyle w:val="LineNumbers"/>
                      <w:spacing w:line="480" w:lineRule="exact"/>
                    </w:pPr>
                    <w:r>
                      <w:t>23</w:t>
                    </w:r>
                  </w:p>
                  <w:p w14:paraId="5EB3C8CA" w14:textId="77777777" w:rsidR="00480702" w:rsidRDefault="00480702">
                    <w:pPr>
                      <w:pStyle w:val="LineNumbers"/>
                      <w:spacing w:line="480" w:lineRule="exact"/>
                    </w:pPr>
                    <w:r>
                      <w:t>24</w:t>
                    </w:r>
                  </w:p>
                  <w:p w14:paraId="322ACC65" w14:textId="77777777" w:rsidR="00480702" w:rsidRDefault="00480702">
                    <w:pPr>
                      <w:pStyle w:val="LineNumbers"/>
                      <w:spacing w:line="480" w:lineRule="exact"/>
                    </w:pPr>
                    <w:r>
                      <w:t>25</w:t>
                    </w:r>
                  </w:p>
                  <w:p w14:paraId="2EEFFE75" w14:textId="77777777" w:rsidR="00480702" w:rsidRDefault="00480702">
                    <w:pPr>
                      <w:pStyle w:val="LineNumbers"/>
                      <w:spacing w:line="480" w:lineRule="exact"/>
                    </w:pP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1A7906C6" wp14:editId="007A8959">
              <wp:simplePos x="0" y="0"/>
              <wp:positionH relativeFrom="column">
                <wp:posOffset>-66040</wp:posOffset>
              </wp:positionH>
              <wp:positionV relativeFrom="paragraph">
                <wp:posOffset>476885</wp:posOffset>
              </wp:positionV>
              <wp:extent cx="635" cy="7498080"/>
              <wp:effectExtent l="10160" t="10160" r="825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808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7B00BF"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55pt" to="-5.15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0058E02" wp14:editId="4ECC04D9">
              <wp:simplePos x="0" y="0"/>
              <wp:positionH relativeFrom="column">
                <wp:posOffset>-91440</wp:posOffset>
              </wp:positionH>
              <wp:positionV relativeFrom="paragraph">
                <wp:posOffset>476250</wp:posOffset>
              </wp:positionV>
              <wp:extent cx="635" cy="7498080"/>
              <wp:effectExtent l="13335" t="9525" r="508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808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771BB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7.5pt" to="-7.15pt,6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1" layoutInCell="0" allowOverlap="1" wp14:anchorId="60259F6B" wp14:editId="66552A22">
              <wp:simplePos x="0" y="0"/>
              <wp:positionH relativeFrom="column">
                <wp:posOffset>5963920</wp:posOffset>
              </wp:positionH>
              <wp:positionV relativeFrom="paragraph">
                <wp:posOffset>480695</wp:posOffset>
              </wp:positionV>
              <wp:extent cx="635" cy="7498080"/>
              <wp:effectExtent l="10795" t="13970" r="762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808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A39F4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6pt,37.85pt" to="469.6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" o:allowincell="f">
              <v:stroke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5680" behindDoc="0" locked="0" layoutInCell="0" allowOverlap="1" wp14:anchorId="1E61AAA8" wp14:editId="61E36B8C">
              <wp:simplePos x="0" y="0"/>
              <wp:positionH relativeFrom="margin">
                <wp:posOffset>-91440</wp:posOffset>
              </wp:positionH>
              <wp:positionV relativeFrom="page">
                <wp:posOffset>0</wp:posOffset>
              </wp:positionV>
              <wp:extent cx="635" cy="10058400"/>
              <wp:effectExtent l="381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09B48A" id="Line 5"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EEB3" w14:textId="77777777" w:rsidR="00494765" w:rsidRDefault="00494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AFE132A"/>
    <w:lvl w:ilvl="0">
      <w:start w:val="1"/>
      <w:numFmt w:val="upperRoman"/>
      <w:pStyle w:val="Heading1"/>
      <w:lvlText w:val="%1."/>
      <w:lvlJc w:val="left"/>
      <w:pPr>
        <w:tabs>
          <w:tab w:val="num" w:pos="0"/>
        </w:tabs>
        <w:ind w:left="720" w:hanging="720"/>
      </w:pPr>
      <w:rPr>
        <w:rFonts w:cs="Times New Roman"/>
      </w:rPr>
    </w:lvl>
    <w:lvl w:ilvl="1">
      <w:start w:val="1"/>
      <w:numFmt w:val="upperLetter"/>
      <w:pStyle w:val="Heading2"/>
      <w:lvlText w:val="%2."/>
      <w:lvlJc w:val="left"/>
      <w:pPr>
        <w:tabs>
          <w:tab w:val="num" w:pos="0"/>
        </w:tabs>
        <w:ind w:left="720" w:hanging="720"/>
      </w:pPr>
      <w:rPr>
        <w:rFonts w:cs="Times New Roman"/>
      </w:rPr>
    </w:lvl>
    <w:lvl w:ilvl="2">
      <w:start w:val="1"/>
      <w:numFmt w:val="decimal"/>
      <w:pStyle w:val="Heading3"/>
      <w:lvlText w:val="%3."/>
      <w:lvlJc w:val="left"/>
      <w:pPr>
        <w:tabs>
          <w:tab w:val="num" w:pos="0"/>
        </w:tabs>
        <w:ind w:left="1440" w:hanging="720"/>
      </w:pPr>
      <w:rPr>
        <w:rFonts w:cs="Times New Roman"/>
      </w:rPr>
    </w:lvl>
    <w:lvl w:ilvl="3">
      <w:start w:val="1"/>
      <w:numFmt w:val="lowerLetter"/>
      <w:pStyle w:val="Heading4"/>
      <w:lvlText w:val="%4."/>
      <w:lvlJc w:val="left"/>
      <w:pPr>
        <w:tabs>
          <w:tab w:val="num" w:pos="0"/>
        </w:tabs>
        <w:ind w:left="2160" w:hanging="720"/>
      </w:pPr>
      <w:rPr>
        <w:rFonts w:cs="Times New Roman"/>
      </w:rPr>
    </w:lvl>
    <w:lvl w:ilvl="4">
      <w:start w:val="1"/>
      <w:numFmt w:val="decimal"/>
      <w:pStyle w:val="Heading5"/>
      <w:lvlText w:val="(%5)"/>
      <w:lvlJc w:val="left"/>
      <w:pPr>
        <w:tabs>
          <w:tab w:val="num" w:pos="0"/>
        </w:tabs>
        <w:ind w:left="2880" w:hanging="720"/>
      </w:pPr>
      <w:rPr>
        <w:rFonts w:cs="Times New Roman"/>
      </w:rPr>
    </w:lvl>
    <w:lvl w:ilvl="5">
      <w:start w:val="1"/>
      <w:numFmt w:val="lowerLetter"/>
      <w:pStyle w:val="Heading6"/>
      <w:lvlText w:val="(%6)"/>
      <w:lvlJc w:val="left"/>
      <w:pPr>
        <w:tabs>
          <w:tab w:val="num" w:pos="0"/>
        </w:tabs>
        <w:ind w:left="3600" w:hanging="720"/>
      </w:pPr>
      <w:rPr>
        <w:rFonts w:cs="Times New Roman"/>
      </w:rPr>
    </w:lvl>
    <w:lvl w:ilvl="6">
      <w:start w:val="1"/>
      <w:numFmt w:val="decimal"/>
      <w:pStyle w:val="Heading7"/>
      <w:lvlText w:val="%7)"/>
      <w:lvlJc w:val="left"/>
      <w:pPr>
        <w:tabs>
          <w:tab w:val="num" w:pos="4320"/>
        </w:tabs>
        <w:ind w:left="4320" w:hanging="720"/>
      </w:pPr>
      <w:rPr>
        <w:rFonts w:cs="Times New Roman"/>
      </w:rPr>
    </w:lvl>
    <w:lvl w:ilvl="7">
      <w:start w:val="1"/>
      <w:numFmt w:val="lowerLetter"/>
      <w:pStyle w:val="Heading8"/>
      <w:lvlText w:val="%8)"/>
      <w:lvlJc w:val="left"/>
      <w:pPr>
        <w:tabs>
          <w:tab w:val="num" w:pos="0"/>
        </w:tabs>
        <w:ind w:left="5040" w:hanging="720"/>
      </w:pPr>
      <w:rPr>
        <w:rFonts w:cs="Times New Roman"/>
      </w:rPr>
    </w:lvl>
    <w:lvl w:ilvl="8">
      <w:start w:val="1"/>
      <w:numFmt w:val="lowerRoman"/>
      <w:pStyle w:val="Heading9"/>
      <w:lvlText w:val="%9)"/>
      <w:lvlJc w:val="left"/>
      <w:pPr>
        <w:tabs>
          <w:tab w:val="num" w:pos="0"/>
        </w:tabs>
        <w:ind w:left="5760" w:hanging="720"/>
      </w:pPr>
      <w:rPr>
        <w:rFonts w:cs="Times New Roman"/>
      </w:rPr>
    </w:lvl>
  </w:abstractNum>
  <w:abstractNum w:abstractNumId="1" w15:restartNumberingAfterBreak="0">
    <w:nsid w:val="16BC5901"/>
    <w:multiLevelType w:val="hybridMultilevel"/>
    <w:tmpl w:val="695C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A2890"/>
    <w:multiLevelType w:val="hybridMultilevel"/>
    <w:tmpl w:val="C3F633DC"/>
    <w:lvl w:ilvl="0" w:tplc="27903C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E2B07"/>
    <w:multiLevelType w:val="singleLevel"/>
    <w:tmpl w:val="D7A45EE4"/>
    <w:lvl w:ilvl="0">
      <w:start w:val="1"/>
      <w:numFmt w:val="lowerLetter"/>
      <w:lvlText w:val="%1)"/>
      <w:lvlJc w:val="left"/>
      <w:pPr>
        <w:tabs>
          <w:tab w:val="num" w:pos="1440"/>
        </w:tabs>
        <w:ind w:left="1440" w:hanging="720"/>
      </w:pPr>
      <w:rPr>
        <w:rFonts w:cs="Times New Roman" w:hint="default"/>
      </w:rPr>
    </w:lvl>
  </w:abstractNum>
  <w:abstractNum w:abstractNumId="4" w15:restartNumberingAfterBreak="0">
    <w:nsid w:val="32890035"/>
    <w:multiLevelType w:val="hybridMultilevel"/>
    <w:tmpl w:val="0ED0B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E2993"/>
    <w:multiLevelType w:val="hybridMultilevel"/>
    <w:tmpl w:val="3D765B70"/>
    <w:lvl w:ilvl="0" w:tplc="82463F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C0C58"/>
    <w:multiLevelType w:val="singleLevel"/>
    <w:tmpl w:val="6D5828CA"/>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516973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C737620"/>
    <w:multiLevelType w:val="singleLevel"/>
    <w:tmpl w:val="1A42CBF2"/>
    <w:lvl w:ilvl="0">
      <w:start w:val="1"/>
      <w:numFmt w:val="lowerLetter"/>
      <w:lvlText w:val="%1.)"/>
      <w:lvlJc w:val="left"/>
      <w:pPr>
        <w:tabs>
          <w:tab w:val="num" w:pos="1440"/>
        </w:tabs>
        <w:ind w:left="1440" w:hanging="7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7"/>
  </w:num>
  <w:num w:numId="25">
    <w:abstractNumId w:val="8"/>
  </w:num>
  <w:num w:numId="26">
    <w:abstractNumId w:val="6"/>
  </w:num>
  <w:num w:numId="27">
    <w:abstractNumId w:val="3"/>
  </w:num>
  <w:num w:numId="28">
    <w:abstractNumId w:val="1"/>
  </w:num>
  <w:num w:numId="29">
    <w:abstractNumId w:val="2"/>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B"/>
    <w:rsid w:val="000044E8"/>
    <w:rsid w:val="00016763"/>
    <w:rsid w:val="000175D1"/>
    <w:rsid w:val="00020E6E"/>
    <w:rsid w:val="00031A36"/>
    <w:rsid w:val="000503B3"/>
    <w:rsid w:val="00056890"/>
    <w:rsid w:val="00065206"/>
    <w:rsid w:val="00077815"/>
    <w:rsid w:val="00083678"/>
    <w:rsid w:val="00095386"/>
    <w:rsid w:val="000A2826"/>
    <w:rsid w:val="000A5ED2"/>
    <w:rsid w:val="000B20C8"/>
    <w:rsid w:val="000F0221"/>
    <w:rsid w:val="000F5ED4"/>
    <w:rsid w:val="00113842"/>
    <w:rsid w:val="00142D85"/>
    <w:rsid w:val="0014672A"/>
    <w:rsid w:val="00151C12"/>
    <w:rsid w:val="00152155"/>
    <w:rsid w:val="00186F02"/>
    <w:rsid w:val="00193A71"/>
    <w:rsid w:val="001A03D4"/>
    <w:rsid w:val="001A0F1B"/>
    <w:rsid w:val="001D133B"/>
    <w:rsid w:val="001E085A"/>
    <w:rsid w:val="001E29C9"/>
    <w:rsid w:val="00201A40"/>
    <w:rsid w:val="00202A1F"/>
    <w:rsid w:val="00207277"/>
    <w:rsid w:val="00221F6F"/>
    <w:rsid w:val="00225D39"/>
    <w:rsid w:val="00241081"/>
    <w:rsid w:val="002435DC"/>
    <w:rsid w:val="00253CD1"/>
    <w:rsid w:val="0028128C"/>
    <w:rsid w:val="0028544D"/>
    <w:rsid w:val="002A327E"/>
    <w:rsid w:val="002A3E81"/>
    <w:rsid w:val="002A59AA"/>
    <w:rsid w:val="002B5971"/>
    <w:rsid w:val="002F7616"/>
    <w:rsid w:val="00303C33"/>
    <w:rsid w:val="0031141A"/>
    <w:rsid w:val="0032636C"/>
    <w:rsid w:val="00380B23"/>
    <w:rsid w:val="003A4D39"/>
    <w:rsid w:val="003A6A8B"/>
    <w:rsid w:val="003C38B0"/>
    <w:rsid w:val="003C5E02"/>
    <w:rsid w:val="003C76EF"/>
    <w:rsid w:val="003D7475"/>
    <w:rsid w:val="003E246B"/>
    <w:rsid w:val="003F54A5"/>
    <w:rsid w:val="00402725"/>
    <w:rsid w:val="00403548"/>
    <w:rsid w:val="00403DCC"/>
    <w:rsid w:val="0041757E"/>
    <w:rsid w:val="00425318"/>
    <w:rsid w:val="0043259A"/>
    <w:rsid w:val="0043401B"/>
    <w:rsid w:val="00465874"/>
    <w:rsid w:val="00474888"/>
    <w:rsid w:val="00480702"/>
    <w:rsid w:val="00481EEA"/>
    <w:rsid w:val="00494101"/>
    <w:rsid w:val="00494765"/>
    <w:rsid w:val="004A2976"/>
    <w:rsid w:val="004A63C8"/>
    <w:rsid w:val="004B3A8C"/>
    <w:rsid w:val="004B54D5"/>
    <w:rsid w:val="004B6D7E"/>
    <w:rsid w:val="004C48B1"/>
    <w:rsid w:val="004D5F1F"/>
    <w:rsid w:val="004D63F0"/>
    <w:rsid w:val="004E454C"/>
    <w:rsid w:val="004F13F2"/>
    <w:rsid w:val="004F77CD"/>
    <w:rsid w:val="005004DF"/>
    <w:rsid w:val="0051786D"/>
    <w:rsid w:val="00521174"/>
    <w:rsid w:val="00525F01"/>
    <w:rsid w:val="005264F9"/>
    <w:rsid w:val="005269B2"/>
    <w:rsid w:val="005275EF"/>
    <w:rsid w:val="00533E5D"/>
    <w:rsid w:val="00550E61"/>
    <w:rsid w:val="00555058"/>
    <w:rsid w:val="00564DE4"/>
    <w:rsid w:val="005716CF"/>
    <w:rsid w:val="00584369"/>
    <w:rsid w:val="005948EA"/>
    <w:rsid w:val="00595270"/>
    <w:rsid w:val="005C3BBE"/>
    <w:rsid w:val="005D6916"/>
    <w:rsid w:val="005E2C2A"/>
    <w:rsid w:val="005F554F"/>
    <w:rsid w:val="006247DD"/>
    <w:rsid w:val="00625277"/>
    <w:rsid w:val="00633EDC"/>
    <w:rsid w:val="0064184D"/>
    <w:rsid w:val="00646246"/>
    <w:rsid w:val="00651031"/>
    <w:rsid w:val="00655613"/>
    <w:rsid w:val="0066249B"/>
    <w:rsid w:val="00663FCE"/>
    <w:rsid w:val="00675136"/>
    <w:rsid w:val="00677134"/>
    <w:rsid w:val="006815D7"/>
    <w:rsid w:val="006A4210"/>
    <w:rsid w:val="006A468E"/>
    <w:rsid w:val="006B49C6"/>
    <w:rsid w:val="006D6941"/>
    <w:rsid w:val="006E6C4E"/>
    <w:rsid w:val="006F1BF9"/>
    <w:rsid w:val="006F3BA2"/>
    <w:rsid w:val="00712169"/>
    <w:rsid w:val="00722493"/>
    <w:rsid w:val="00732DEE"/>
    <w:rsid w:val="00735BFF"/>
    <w:rsid w:val="00737C40"/>
    <w:rsid w:val="007624C5"/>
    <w:rsid w:val="00772565"/>
    <w:rsid w:val="00775475"/>
    <w:rsid w:val="0078042D"/>
    <w:rsid w:val="00780D1D"/>
    <w:rsid w:val="007848AA"/>
    <w:rsid w:val="00786A42"/>
    <w:rsid w:val="007873F5"/>
    <w:rsid w:val="00791019"/>
    <w:rsid w:val="007917A6"/>
    <w:rsid w:val="00796091"/>
    <w:rsid w:val="007979CD"/>
    <w:rsid w:val="007C5EFA"/>
    <w:rsid w:val="00812DBA"/>
    <w:rsid w:val="008240C4"/>
    <w:rsid w:val="0082752D"/>
    <w:rsid w:val="00847AAF"/>
    <w:rsid w:val="0086704A"/>
    <w:rsid w:val="008671BF"/>
    <w:rsid w:val="00870196"/>
    <w:rsid w:val="00892AF4"/>
    <w:rsid w:val="008966E1"/>
    <w:rsid w:val="008B38A7"/>
    <w:rsid w:val="008B5C2E"/>
    <w:rsid w:val="008C530E"/>
    <w:rsid w:val="008E3114"/>
    <w:rsid w:val="008F6B6D"/>
    <w:rsid w:val="009035C1"/>
    <w:rsid w:val="00903E91"/>
    <w:rsid w:val="00911B43"/>
    <w:rsid w:val="00920561"/>
    <w:rsid w:val="00931843"/>
    <w:rsid w:val="009361FB"/>
    <w:rsid w:val="00974F45"/>
    <w:rsid w:val="009809A1"/>
    <w:rsid w:val="00995858"/>
    <w:rsid w:val="009A4E34"/>
    <w:rsid w:val="009D3DF6"/>
    <w:rsid w:val="009E7920"/>
    <w:rsid w:val="00A13DC4"/>
    <w:rsid w:val="00A344B8"/>
    <w:rsid w:val="00A374A6"/>
    <w:rsid w:val="00A41A49"/>
    <w:rsid w:val="00A43D9B"/>
    <w:rsid w:val="00A514D2"/>
    <w:rsid w:val="00A94808"/>
    <w:rsid w:val="00A97CD0"/>
    <w:rsid w:val="00AA1A4E"/>
    <w:rsid w:val="00AA1A7E"/>
    <w:rsid w:val="00AB1D1E"/>
    <w:rsid w:val="00AC12ED"/>
    <w:rsid w:val="00AD64EE"/>
    <w:rsid w:val="00AF71BB"/>
    <w:rsid w:val="00AF77DF"/>
    <w:rsid w:val="00B15921"/>
    <w:rsid w:val="00B23744"/>
    <w:rsid w:val="00B31934"/>
    <w:rsid w:val="00B31A5C"/>
    <w:rsid w:val="00B52461"/>
    <w:rsid w:val="00B54E94"/>
    <w:rsid w:val="00B64F6E"/>
    <w:rsid w:val="00B759D5"/>
    <w:rsid w:val="00B842F5"/>
    <w:rsid w:val="00B911CF"/>
    <w:rsid w:val="00B92192"/>
    <w:rsid w:val="00B93E7C"/>
    <w:rsid w:val="00B97C5F"/>
    <w:rsid w:val="00BA15EA"/>
    <w:rsid w:val="00BA2043"/>
    <w:rsid w:val="00BB7A2E"/>
    <w:rsid w:val="00BD2C5A"/>
    <w:rsid w:val="00C0136C"/>
    <w:rsid w:val="00C0218A"/>
    <w:rsid w:val="00C12DBD"/>
    <w:rsid w:val="00C2074E"/>
    <w:rsid w:val="00C23307"/>
    <w:rsid w:val="00C368E6"/>
    <w:rsid w:val="00C803B5"/>
    <w:rsid w:val="00CD30CD"/>
    <w:rsid w:val="00CD6FA6"/>
    <w:rsid w:val="00D34C16"/>
    <w:rsid w:val="00D46907"/>
    <w:rsid w:val="00D4783B"/>
    <w:rsid w:val="00D539AD"/>
    <w:rsid w:val="00D814A7"/>
    <w:rsid w:val="00D82040"/>
    <w:rsid w:val="00DA554B"/>
    <w:rsid w:val="00DA56BC"/>
    <w:rsid w:val="00DA7645"/>
    <w:rsid w:val="00DB07DB"/>
    <w:rsid w:val="00DB7336"/>
    <w:rsid w:val="00DC0686"/>
    <w:rsid w:val="00DC273B"/>
    <w:rsid w:val="00DC58A8"/>
    <w:rsid w:val="00DD5C83"/>
    <w:rsid w:val="00DE0CBD"/>
    <w:rsid w:val="00E305ED"/>
    <w:rsid w:val="00E3502D"/>
    <w:rsid w:val="00E41156"/>
    <w:rsid w:val="00E54508"/>
    <w:rsid w:val="00E67616"/>
    <w:rsid w:val="00E73DBE"/>
    <w:rsid w:val="00E87D99"/>
    <w:rsid w:val="00E9043A"/>
    <w:rsid w:val="00E952C1"/>
    <w:rsid w:val="00E955C4"/>
    <w:rsid w:val="00EA1C47"/>
    <w:rsid w:val="00EE2B38"/>
    <w:rsid w:val="00EF1882"/>
    <w:rsid w:val="00EF2C48"/>
    <w:rsid w:val="00F041EF"/>
    <w:rsid w:val="00F13B7A"/>
    <w:rsid w:val="00F26879"/>
    <w:rsid w:val="00F47A14"/>
    <w:rsid w:val="00F5211F"/>
    <w:rsid w:val="00F63AF8"/>
    <w:rsid w:val="00F738AF"/>
    <w:rsid w:val="00F7775C"/>
    <w:rsid w:val="00F822BA"/>
    <w:rsid w:val="00F93391"/>
    <w:rsid w:val="00F93432"/>
    <w:rsid w:val="00F95F09"/>
    <w:rsid w:val="00FA37B1"/>
    <w:rsid w:val="00FE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2289"/>
    <o:shapelayout v:ext="edit">
      <o:idmap v:ext="edit" data="1"/>
    </o:shapelayout>
  </w:shapeDefaults>
  <w:decimalSymbol w:val="."/>
  <w:listSeparator w:val=","/>
  <w14:docId w14:val="1E924953"/>
  <w15:chartTrackingRefBased/>
  <w15:docId w15:val="{4D5B522E-9464-45EC-ADC1-9B10F54B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36C"/>
    <w:pPr>
      <w:spacing w:line="480" w:lineRule="auto"/>
    </w:pPr>
    <w:rPr>
      <w:sz w:val="24"/>
    </w:rPr>
  </w:style>
  <w:style w:type="paragraph" w:styleId="Heading1">
    <w:name w:val="heading 1"/>
    <w:basedOn w:val="Normal"/>
    <w:next w:val="Normal"/>
    <w:qFormat/>
    <w:rsid w:val="006A4210"/>
    <w:pPr>
      <w:keepNext/>
      <w:numPr>
        <w:numId w:val="23"/>
      </w:numPr>
      <w:spacing w:before="240"/>
      <w:jc w:val="center"/>
      <w:outlineLvl w:val="0"/>
    </w:pPr>
    <w:rPr>
      <w:b/>
      <w:caps/>
      <w:kern w:val="28"/>
    </w:rPr>
  </w:style>
  <w:style w:type="paragraph" w:styleId="Heading2">
    <w:name w:val="heading 2"/>
    <w:basedOn w:val="Normal"/>
    <w:next w:val="Normal"/>
    <w:qFormat/>
    <w:rsid w:val="006A4210"/>
    <w:pPr>
      <w:keepNext/>
      <w:numPr>
        <w:ilvl w:val="1"/>
        <w:numId w:val="23"/>
      </w:numPr>
      <w:spacing w:before="240"/>
      <w:jc w:val="both"/>
      <w:outlineLvl w:val="1"/>
    </w:pPr>
    <w:rPr>
      <w:b/>
    </w:rPr>
  </w:style>
  <w:style w:type="paragraph" w:styleId="Heading3">
    <w:name w:val="heading 3"/>
    <w:basedOn w:val="Normal"/>
    <w:next w:val="Normal"/>
    <w:qFormat/>
    <w:rsid w:val="006A4210"/>
    <w:pPr>
      <w:keepNext/>
      <w:numPr>
        <w:ilvl w:val="2"/>
        <w:numId w:val="23"/>
      </w:numPr>
      <w:spacing w:before="240"/>
      <w:jc w:val="both"/>
      <w:outlineLvl w:val="2"/>
    </w:pPr>
    <w:rPr>
      <w:b/>
    </w:rPr>
  </w:style>
  <w:style w:type="paragraph" w:styleId="Heading4">
    <w:name w:val="heading 4"/>
    <w:basedOn w:val="Normal"/>
    <w:next w:val="Normal"/>
    <w:qFormat/>
    <w:rsid w:val="006A4210"/>
    <w:pPr>
      <w:keepNext/>
      <w:numPr>
        <w:ilvl w:val="3"/>
        <w:numId w:val="23"/>
      </w:numPr>
      <w:spacing w:before="240"/>
      <w:jc w:val="both"/>
      <w:outlineLvl w:val="3"/>
    </w:pPr>
    <w:rPr>
      <w:b/>
    </w:rPr>
  </w:style>
  <w:style w:type="paragraph" w:styleId="Heading5">
    <w:name w:val="heading 5"/>
    <w:basedOn w:val="Normal"/>
    <w:next w:val="Normal"/>
    <w:qFormat/>
    <w:rsid w:val="006A4210"/>
    <w:pPr>
      <w:keepNext/>
      <w:numPr>
        <w:ilvl w:val="4"/>
        <w:numId w:val="23"/>
      </w:numPr>
      <w:spacing w:before="240"/>
      <w:jc w:val="both"/>
      <w:outlineLvl w:val="4"/>
    </w:pPr>
    <w:rPr>
      <w:b/>
    </w:rPr>
  </w:style>
  <w:style w:type="paragraph" w:styleId="Heading6">
    <w:name w:val="heading 6"/>
    <w:basedOn w:val="Normal"/>
    <w:next w:val="Normal"/>
    <w:qFormat/>
    <w:rsid w:val="006A4210"/>
    <w:pPr>
      <w:keepNext/>
      <w:numPr>
        <w:ilvl w:val="5"/>
        <w:numId w:val="23"/>
      </w:numPr>
      <w:spacing w:before="240"/>
      <w:jc w:val="both"/>
      <w:outlineLvl w:val="5"/>
    </w:pPr>
    <w:rPr>
      <w:b/>
    </w:rPr>
  </w:style>
  <w:style w:type="paragraph" w:styleId="Heading7">
    <w:name w:val="heading 7"/>
    <w:basedOn w:val="Normal"/>
    <w:next w:val="Normal"/>
    <w:qFormat/>
    <w:rsid w:val="006A4210"/>
    <w:pPr>
      <w:keepNext/>
      <w:numPr>
        <w:ilvl w:val="6"/>
        <w:numId w:val="23"/>
      </w:numPr>
      <w:spacing w:before="240"/>
      <w:jc w:val="both"/>
      <w:outlineLvl w:val="6"/>
    </w:pPr>
    <w:rPr>
      <w:b/>
    </w:rPr>
  </w:style>
  <w:style w:type="paragraph" w:styleId="Heading8">
    <w:name w:val="heading 8"/>
    <w:basedOn w:val="Normal"/>
    <w:next w:val="Normal"/>
    <w:qFormat/>
    <w:rsid w:val="006A4210"/>
    <w:pPr>
      <w:keepNext/>
      <w:numPr>
        <w:ilvl w:val="7"/>
        <w:numId w:val="23"/>
      </w:numPr>
      <w:spacing w:before="240"/>
      <w:jc w:val="both"/>
      <w:outlineLvl w:val="7"/>
    </w:pPr>
    <w:rPr>
      <w:b/>
    </w:rPr>
  </w:style>
  <w:style w:type="paragraph" w:styleId="Heading9">
    <w:name w:val="heading 9"/>
    <w:basedOn w:val="Normal"/>
    <w:next w:val="Normal"/>
    <w:qFormat/>
    <w:rsid w:val="006A4210"/>
    <w:pPr>
      <w:keepNext/>
      <w:numPr>
        <w:ilvl w:val="8"/>
        <w:numId w:val="23"/>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210"/>
    <w:pPr>
      <w:tabs>
        <w:tab w:val="center" w:pos="4320"/>
        <w:tab w:val="right" w:pos="8640"/>
      </w:tabs>
      <w:spacing w:line="240" w:lineRule="auto"/>
    </w:pPr>
  </w:style>
  <w:style w:type="paragraph" w:styleId="Footer">
    <w:name w:val="footer"/>
    <w:basedOn w:val="Normal"/>
    <w:rsid w:val="006A4210"/>
    <w:pPr>
      <w:tabs>
        <w:tab w:val="center" w:pos="4320"/>
        <w:tab w:val="right" w:pos="8640"/>
      </w:tabs>
      <w:spacing w:line="240" w:lineRule="auto"/>
    </w:pPr>
    <w:rPr>
      <w:sz w:val="20"/>
    </w:rPr>
  </w:style>
  <w:style w:type="paragraph" w:customStyle="1" w:styleId="LineNumbers">
    <w:name w:val="LineNumbers"/>
    <w:basedOn w:val="Normal"/>
    <w:rsid w:val="006A4210"/>
    <w:pPr>
      <w:jc w:val="right"/>
    </w:pPr>
  </w:style>
  <w:style w:type="paragraph" w:customStyle="1" w:styleId="SingleSpacing">
    <w:name w:val="Single Spacing"/>
    <w:basedOn w:val="Normal"/>
    <w:rsid w:val="006A4210"/>
    <w:pPr>
      <w:spacing w:line="186" w:lineRule="exact"/>
    </w:pPr>
  </w:style>
  <w:style w:type="paragraph" w:customStyle="1" w:styleId="15Spacing">
    <w:name w:val="1.5 Spacing"/>
    <w:basedOn w:val="Normal"/>
    <w:rsid w:val="006A4210"/>
    <w:pPr>
      <w:spacing w:line="279" w:lineRule="exact"/>
    </w:pPr>
  </w:style>
  <w:style w:type="character" w:styleId="PageNumber">
    <w:name w:val="page number"/>
    <w:rsid w:val="006A4210"/>
    <w:rPr>
      <w:rFonts w:cs="Times New Roman"/>
    </w:rPr>
  </w:style>
  <w:style w:type="paragraph" w:customStyle="1" w:styleId="Address">
    <w:name w:val="Address"/>
    <w:basedOn w:val="SingleSpacing"/>
    <w:rsid w:val="006A4210"/>
    <w:pPr>
      <w:ind w:left="4680"/>
    </w:pPr>
  </w:style>
  <w:style w:type="paragraph" w:customStyle="1" w:styleId="CourtName">
    <w:name w:val="CourtName"/>
    <w:basedOn w:val="Normal"/>
    <w:rsid w:val="006A4210"/>
    <w:pPr>
      <w:jc w:val="center"/>
    </w:pPr>
  </w:style>
  <w:style w:type="character" w:styleId="FootnoteReference">
    <w:name w:val="footnote reference"/>
    <w:semiHidden/>
    <w:rsid w:val="006A4210"/>
    <w:rPr>
      <w:rFonts w:cs="Times New Roman"/>
      <w:vertAlign w:val="superscript"/>
    </w:rPr>
  </w:style>
  <w:style w:type="paragraph" w:styleId="TOAHeading">
    <w:name w:val="toa heading"/>
    <w:basedOn w:val="Normal"/>
    <w:next w:val="Normal"/>
    <w:semiHidden/>
    <w:rsid w:val="006A4210"/>
    <w:pPr>
      <w:spacing w:before="120" w:after="240"/>
      <w:jc w:val="center"/>
    </w:pPr>
    <w:rPr>
      <w:b/>
      <w:u w:val="single"/>
    </w:rPr>
  </w:style>
  <w:style w:type="paragraph" w:styleId="FootnoteText">
    <w:name w:val="footnote text"/>
    <w:basedOn w:val="Normal"/>
    <w:semiHidden/>
    <w:rsid w:val="006A4210"/>
    <w:pPr>
      <w:spacing w:line="240" w:lineRule="auto"/>
      <w:ind w:firstLine="720"/>
    </w:pPr>
    <w:rPr>
      <w:sz w:val="20"/>
    </w:rPr>
  </w:style>
  <w:style w:type="paragraph" w:styleId="TOC1">
    <w:name w:val="toc 1"/>
    <w:basedOn w:val="Normal"/>
    <w:next w:val="Normal"/>
    <w:semiHidden/>
    <w:rsid w:val="006A4210"/>
    <w:pPr>
      <w:tabs>
        <w:tab w:val="right" w:leader="dot" w:pos="9360"/>
      </w:tabs>
      <w:spacing w:after="240"/>
      <w:ind w:left="630" w:right="547" w:hanging="630"/>
    </w:pPr>
    <w:rPr>
      <w:caps/>
      <w:noProof/>
    </w:rPr>
  </w:style>
  <w:style w:type="paragraph" w:styleId="TOC2">
    <w:name w:val="toc 2"/>
    <w:basedOn w:val="Normal"/>
    <w:next w:val="Normal"/>
    <w:semiHidden/>
    <w:rsid w:val="006A4210"/>
    <w:pPr>
      <w:tabs>
        <w:tab w:val="right" w:leader="dot" w:pos="9360"/>
      </w:tabs>
      <w:spacing w:after="240"/>
      <w:ind w:left="1080" w:right="547" w:hanging="450"/>
    </w:pPr>
    <w:rPr>
      <w:noProof/>
    </w:rPr>
  </w:style>
  <w:style w:type="paragraph" w:styleId="TOC3">
    <w:name w:val="toc 3"/>
    <w:basedOn w:val="Normal"/>
    <w:next w:val="Normal"/>
    <w:semiHidden/>
    <w:rsid w:val="006A4210"/>
    <w:pPr>
      <w:tabs>
        <w:tab w:val="right" w:leader="dot" w:pos="9360"/>
      </w:tabs>
      <w:spacing w:after="240"/>
      <w:ind w:left="1530" w:right="547" w:hanging="450"/>
    </w:pPr>
    <w:rPr>
      <w:noProof/>
    </w:rPr>
  </w:style>
  <w:style w:type="paragraph" w:styleId="TOC4">
    <w:name w:val="toc 4"/>
    <w:basedOn w:val="Normal"/>
    <w:next w:val="Normal"/>
    <w:semiHidden/>
    <w:rsid w:val="006A4210"/>
    <w:pPr>
      <w:tabs>
        <w:tab w:val="right" w:leader="dot" w:pos="9360"/>
      </w:tabs>
      <w:spacing w:after="240"/>
      <w:ind w:left="1980" w:right="547" w:hanging="450"/>
    </w:pPr>
    <w:rPr>
      <w:noProof/>
    </w:rPr>
  </w:style>
  <w:style w:type="paragraph" w:styleId="TOC5">
    <w:name w:val="toc 5"/>
    <w:basedOn w:val="Normal"/>
    <w:next w:val="Normal"/>
    <w:semiHidden/>
    <w:rsid w:val="006A4210"/>
    <w:pPr>
      <w:tabs>
        <w:tab w:val="right" w:leader="dot" w:pos="9360"/>
      </w:tabs>
      <w:spacing w:after="240"/>
      <w:ind w:left="2610" w:right="547" w:hanging="630"/>
    </w:pPr>
    <w:rPr>
      <w:noProof/>
    </w:rPr>
  </w:style>
  <w:style w:type="paragraph" w:styleId="TOC6">
    <w:name w:val="toc 6"/>
    <w:basedOn w:val="Normal"/>
    <w:next w:val="Normal"/>
    <w:semiHidden/>
    <w:rsid w:val="006A4210"/>
    <w:pPr>
      <w:tabs>
        <w:tab w:val="right" w:leader="dot" w:pos="9360"/>
      </w:tabs>
      <w:spacing w:after="240"/>
      <w:ind w:left="3150" w:right="547" w:hanging="540"/>
    </w:pPr>
    <w:rPr>
      <w:noProof/>
    </w:rPr>
  </w:style>
  <w:style w:type="paragraph" w:styleId="TOC7">
    <w:name w:val="toc 7"/>
    <w:basedOn w:val="Normal"/>
    <w:next w:val="Normal"/>
    <w:semiHidden/>
    <w:rsid w:val="006A4210"/>
    <w:pPr>
      <w:tabs>
        <w:tab w:val="right" w:leader="dot" w:pos="9360"/>
      </w:tabs>
      <w:spacing w:after="240"/>
      <w:ind w:left="3600" w:right="547" w:hanging="450"/>
    </w:pPr>
    <w:rPr>
      <w:noProof/>
    </w:rPr>
  </w:style>
  <w:style w:type="paragraph" w:styleId="TOC8">
    <w:name w:val="toc 8"/>
    <w:basedOn w:val="Normal"/>
    <w:next w:val="Normal"/>
    <w:semiHidden/>
    <w:rsid w:val="006A4210"/>
    <w:pPr>
      <w:tabs>
        <w:tab w:val="right" w:leader="dot" w:pos="9360"/>
      </w:tabs>
      <w:spacing w:after="240"/>
      <w:ind w:left="4050" w:right="547" w:hanging="450"/>
    </w:pPr>
    <w:rPr>
      <w:noProof/>
    </w:rPr>
  </w:style>
  <w:style w:type="paragraph" w:styleId="BodyText">
    <w:name w:val="Body Text"/>
    <w:basedOn w:val="Normal"/>
    <w:rsid w:val="006A4210"/>
    <w:pPr>
      <w:spacing w:after="120"/>
      <w:ind w:firstLine="720"/>
    </w:pPr>
  </w:style>
  <w:style w:type="paragraph" w:styleId="TableofAuthorities">
    <w:name w:val="table of authorities"/>
    <w:basedOn w:val="Normal"/>
    <w:next w:val="Normal"/>
    <w:semiHidden/>
    <w:rsid w:val="006A4210"/>
    <w:pPr>
      <w:tabs>
        <w:tab w:val="right" w:pos="9360"/>
      </w:tabs>
      <w:spacing w:after="240"/>
      <w:ind w:left="245" w:right="720" w:hanging="245"/>
    </w:pPr>
  </w:style>
  <w:style w:type="paragraph" w:styleId="BalloonText">
    <w:name w:val="Balloon Text"/>
    <w:basedOn w:val="Normal"/>
    <w:semiHidden/>
    <w:rsid w:val="006A4210"/>
    <w:rPr>
      <w:rFonts w:ascii="Tahoma" w:hAnsi="Tahoma" w:cs="Tahoma"/>
      <w:sz w:val="16"/>
      <w:szCs w:val="16"/>
    </w:rPr>
  </w:style>
  <w:style w:type="paragraph" w:styleId="PlainText">
    <w:name w:val="Plain Text"/>
    <w:basedOn w:val="Normal"/>
    <w:link w:val="PlainTextChar"/>
    <w:uiPriority w:val="99"/>
    <w:unhideWhenUsed/>
    <w:rsid w:val="00C2074E"/>
    <w:pPr>
      <w:spacing w:line="240" w:lineRule="auto"/>
    </w:pPr>
    <w:rPr>
      <w:rFonts w:ascii="Cambria" w:eastAsia="Calibri" w:hAnsi="Cambria"/>
      <w:sz w:val="22"/>
      <w:szCs w:val="22"/>
      <w:lang w:val="x-none" w:eastAsia="x-none"/>
    </w:rPr>
  </w:style>
  <w:style w:type="character" w:customStyle="1" w:styleId="PlainTextChar">
    <w:name w:val="Plain Text Char"/>
    <w:link w:val="PlainText"/>
    <w:uiPriority w:val="99"/>
    <w:rsid w:val="00C2074E"/>
    <w:rPr>
      <w:rFonts w:ascii="Cambria" w:eastAsia="Calibri" w:hAnsi="Cambria"/>
      <w:sz w:val="22"/>
      <w:szCs w:val="22"/>
    </w:rPr>
  </w:style>
  <w:style w:type="character" w:styleId="Emphasis">
    <w:name w:val="Emphasis"/>
    <w:qFormat/>
    <w:locked/>
    <w:rsid w:val="00555058"/>
    <w:rPr>
      <w:i/>
      <w:iCs/>
    </w:rPr>
  </w:style>
  <w:style w:type="paragraph" w:styleId="ListParagraph">
    <w:name w:val="List Paragraph"/>
    <w:basedOn w:val="Normal"/>
    <w:uiPriority w:val="34"/>
    <w:qFormat/>
    <w:rsid w:val="00425318"/>
    <w:pPr>
      <w:ind w:left="720"/>
    </w:pPr>
  </w:style>
  <w:style w:type="paragraph" w:styleId="HTMLPreformatted">
    <w:name w:val="HTML Preformatted"/>
    <w:basedOn w:val="Normal"/>
    <w:link w:val="HTMLPreformattedChar"/>
    <w:rsid w:val="0032636C"/>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32636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61007869">
      <w:bodyDiv w:val="1"/>
      <w:marLeft w:val="0"/>
      <w:marRight w:val="0"/>
      <w:marTop w:val="0"/>
      <w:marBottom w:val="0"/>
      <w:divBdr>
        <w:top w:val="none" w:sz="0" w:space="0" w:color="auto"/>
        <w:left w:val="none" w:sz="0" w:space="0" w:color="auto"/>
        <w:bottom w:val="none" w:sz="0" w:space="0" w:color="auto"/>
        <w:right w:val="none" w:sz="0" w:space="0" w:color="auto"/>
      </w:divBdr>
    </w:div>
    <w:div w:id="9725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07533486&amp;pubNum=0000506&amp;originatingDoc=Ie04fdd5e074011e6b86bd602cb8781fa&amp;refType=RP&amp;fi=co_pp_sp_506_1137&amp;originationContext=document&amp;transitionType=DocumentItem&amp;contextData=(sc.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CCC3-2C78-4AE3-B354-1B4046BD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8088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Plain Pleading</vt:lpstr>
    </vt:vector>
  </TitlesOfParts>
  <Company>Hewlett-Packard Company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
  <dc:creator>Kathy Thomas</dc:creator>
  <cp:keywords/>
  <cp:lastModifiedBy>Kameron, Katherine (OCLA)</cp:lastModifiedBy>
  <cp:revision>2</cp:revision>
  <cp:lastPrinted>2021-08-23T17:51:00Z</cp:lastPrinted>
  <dcterms:created xsi:type="dcterms:W3CDTF">2022-12-16T01:55:00Z</dcterms:created>
  <dcterms:modified xsi:type="dcterms:W3CDTF">2022-12-16T01:55:00Z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